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E2CC2" w14:textId="21317E2E" w:rsidR="008A4043" w:rsidRDefault="008A4043" w:rsidP="008A4043">
      <w:pPr>
        <w:pStyle w:val="Bezmezer"/>
      </w:pPr>
      <w:bookmarkStart w:id="0" w:name="_Hlk168903646"/>
      <w:bookmarkStart w:id="1" w:name="_GoBack"/>
      <w:bookmarkEnd w:id="1"/>
    </w:p>
    <w:sdt>
      <w:sdtPr>
        <w:id w:val="1431786407"/>
        <w:docPartObj>
          <w:docPartGallery w:val="Cover Pages"/>
          <w:docPartUnique/>
        </w:docPartObj>
      </w:sdtPr>
      <w:sdtEndPr>
        <w:rPr>
          <w:rFonts w:cstheme="minorHAnsi"/>
          <w:b/>
        </w:rPr>
      </w:sdtEndPr>
      <w:sdtContent>
        <w:p w14:paraId="0837A33F" w14:textId="7527DD9D" w:rsidR="008A4043" w:rsidRDefault="008A4043" w:rsidP="008A4043">
          <w:pPr>
            <w:pStyle w:val="Bezmezer"/>
          </w:pPr>
          <w:r>
            <w:rPr>
              <w:noProof/>
              <w:lang w:eastAsia="cs-CZ"/>
            </w:rPr>
            <mc:AlternateContent>
              <mc:Choice Requires="wpg">
                <w:drawing>
                  <wp:anchor distT="0" distB="0" distL="114300" distR="114300" simplePos="0" relativeHeight="251659264" behindDoc="1" locked="0" layoutInCell="1" allowOverlap="1" wp14:anchorId="4B7346FB" wp14:editId="3F5A6139">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Skupina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Obdélní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ětiúhelní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1839298693"/>
                                    <w:dataBinding w:prefixMappings="xmlns:ns0='http://schemas.microsoft.com/office/2006/coverPageProps' " w:xpath="/ns0:CoverPageProperties[1]/ns0:PublishDate[1]" w:storeItemID="{55AF091B-3C7A-41E3-B477-F2FDAA23CFDA}"/>
                                    <w:date w:fullDate="2024-06-13T00:00:00Z">
                                      <w:dateFormat w:val="d.M.yyyy"/>
                                      <w:lid w:val="cs-CZ"/>
                                      <w:storeMappedDataAs w:val="dateTime"/>
                                      <w:calendar w:val="gregorian"/>
                                    </w:date>
                                  </w:sdtPr>
                                  <w:sdtEndPr/>
                                  <w:sdtContent>
                                    <w:p w14:paraId="63954EDF" w14:textId="2E259E7E" w:rsidR="008A4043" w:rsidRDefault="006726B8" w:rsidP="008A4043">
                                      <w:pPr>
                                        <w:pStyle w:val="Bezmezer"/>
                                        <w:jc w:val="right"/>
                                        <w:rPr>
                                          <w:color w:val="FFFFFF" w:themeColor="background1"/>
                                          <w:sz w:val="28"/>
                                          <w:szCs w:val="28"/>
                                        </w:rPr>
                                      </w:pPr>
                                      <w:r>
                                        <w:rPr>
                                          <w:color w:val="FFFFFF" w:themeColor="background1"/>
                                          <w:sz w:val="28"/>
                                          <w:szCs w:val="28"/>
                                        </w:rPr>
                                        <w:t>13.6.2024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Skupina 5"/>
                            <wpg:cNvGrpSpPr/>
                            <wpg:grpSpPr>
                              <a:xfrm>
                                <a:off x="76200" y="4210050"/>
                                <a:ext cx="2057400" cy="4910328"/>
                                <a:chOff x="80645" y="4211812"/>
                                <a:chExt cx="1306273" cy="3121026"/>
                              </a:xfrm>
                            </wpg:grpSpPr>
                            <wpg:grpSp>
                              <wpg:cNvPr id="6" name="Skupina 6"/>
                              <wpg:cNvGrpSpPr>
                                <a:grpSpLocks noChangeAspect="1"/>
                              </wpg:cNvGrpSpPr>
                              <wpg:grpSpPr>
                                <a:xfrm>
                                  <a:off x="141062" y="4211812"/>
                                  <a:ext cx="1047750" cy="3121026"/>
                                  <a:chOff x="141062" y="4211812"/>
                                  <a:chExt cx="1047750" cy="3121026"/>
                                </a:xfrm>
                              </wpg:grpSpPr>
                              <wps:wsp>
                                <wps:cNvPr id="20" name="Volný tva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olný tva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olný tva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olný tva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olný tva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olný tva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olný tva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lný tva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lný tva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lný tva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lný tva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lný tva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Skupina 7"/>
                              <wpg:cNvGrpSpPr>
                                <a:grpSpLocks noChangeAspect="1"/>
                              </wpg:cNvGrpSpPr>
                              <wpg:grpSpPr>
                                <a:xfrm>
                                  <a:off x="80645" y="4826972"/>
                                  <a:ext cx="1306273" cy="2505863"/>
                                  <a:chOff x="80645" y="4649964"/>
                                  <a:chExt cx="874712" cy="1677988"/>
                                </a:xfrm>
                              </wpg:grpSpPr>
                              <wps:wsp>
                                <wps:cNvPr id="8" name="Volný tvar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olný tvar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olný tvar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olný tvar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olný tvar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olný tvar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olný tvar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olný tvar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lný tvar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olný tvar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lný tvar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7346FB" id="Skupina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">
                    <v:rect id="Obdélní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004b8d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e31b23 [3204]" stroked="f" strokeweight="1pt">
                      <v:textbox inset=",0,14.4pt,0">
                        <w:txbxContent>
                          <w:sdt>
                            <w:sdtPr>
                              <w:rPr>
                                <w:color w:val="FFFFFF" w:themeColor="background1"/>
                                <w:sz w:val="28"/>
                                <w:szCs w:val="28"/>
                              </w:rPr>
                              <w:alias w:val="Datum"/>
                              <w:tag w:val=""/>
                              <w:id w:val="-1839298693"/>
                              <w:dataBinding w:prefixMappings="xmlns:ns0='http://schemas.microsoft.com/office/2006/coverPageProps' " w:xpath="/ns0:CoverPageProperties[1]/ns0:PublishDate[1]" w:storeItemID="{55AF091B-3C7A-41E3-B477-F2FDAA23CFDA}"/>
                              <w:date w:fullDate="2024-06-13T00:00:00Z">
                                <w:dateFormat w:val="d.M.yyyy"/>
                                <w:lid w:val="cs-CZ"/>
                                <w:storeMappedDataAs w:val="dateTime"/>
                                <w:calendar w:val="gregorian"/>
                              </w:date>
                            </w:sdtPr>
                            <w:sdtEndPr/>
                            <w:sdtContent>
                              <w:p w14:paraId="63954EDF" w14:textId="2E259E7E" w:rsidR="008A4043" w:rsidRDefault="006726B8" w:rsidP="008A4043">
                                <w:pPr>
                                  <w:pStyle w:val="Bezmezer"/>
                                  <w:jc w:val="right"/>
                                  <w:rPr>
                                    <w:color w:val="FFFFFF" w:themeColor="background1"/>
                                    <w:sz w:val="28"/>
                                    <w:szCs w:val="28"/>
                                  </w:rPr>
                                </w:pPr>
                                <w:r>
                                  <w:rPr>
                                    <w:color w:val="FFFFFF" w:themeColor="background1"/>
                                    <w:sz w:val="28"/>
                                    <w:szCs w:val="28"/>
                                  </w:rPr>
                                  <w:t>13.6.2024</w:t>
                                </w:r>
                              </w:p>
                            </w:sdtContent>
                          </w:sdt>
                        </w:txbxContent>
                      </v:textbox>
                    </v:shape>
                    <v:group id="Skupina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Skupina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olný tvar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004b8d [3215]" strokecolor="#004b8d [3215]" strokeweight="0">
                          <v:path arrowok="t" o:connecttype="custom" o:connectlocs="0,0;61913,241300;133350,482600;193675,661988;193675,698500;120650,485775;61913,285750;9525,84138;0,0" o:connectangles="0,0,0,0,0,0,0,0,0"/>
                        </v:shape>
                        <v:shape id="Volný tvar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004b8d [3215]" strokecolor="#004b8d [3215]" strokeweight="0">
                          <v:path arrowok="t" o:connecttype="custom" o:connectlocs="0,0;12700,30163;58738,147638;106363,265113;184150,427038;171450,427038;95250,268288;47625,155575;1588,39688;0,0" o:connectangles="0,0,0,0,0,0,0,0,0,0"/>
                        </v:shape>
                        <v:shape id="Volný tvar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004b8d [3215]" strokecolor="#004b8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lný tvar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004b8d [3215]" strokecolor="#004b8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lný tvar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004b8d [3215]" strokecolor="#004b8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lný tvar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004b8d [3215]" strokecolor="#004b8d [3215]" strokeweight="0">
                          <v:path arrowok="t" o:connecttype="custom" o:connectlocs="0,0;52388,109538;38100,109538;19050,55563;0,0" o:connectangles="0,0,0,0,0"/>
                        </v:shape>
                        <v:shape id="Volný tvar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004b8d [3215]" strokecolor="#004b8d [3215]" strokeweight="0">
                          <v:path arrowok="t" o:connecttype="custom" o:connectlocs="0,0;14288,58738;14288,63500;23813,147638;7938,77788;0,0" o:connectangles="0,0,0,0,0,0"/>
                        </v:shape>
                        <v:shape id="Volný tvar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004b8d [3215]" strokecolor="#004b8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lný tvar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004b8d [3215]" strokecolor="#004b8d [3215]" strokeweight="0">
                          <v:path arrowok="t" o:connecttype="custom" o:connectlocs="0,0;9525,25400;11113,30163;17463,127000;31750,209550;52388,293688;57150,307975;33338,255588;23813,230188;7938,128588;1588,65088;0,0" o:connectangles="0,0,0,0,0,0,0,0,0,0,0,0"/>
                        </v:shape>
                        <v:shape id="Volný tvar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004b8d [3215]" strokecolor="#004b8d [3215]" strokeweight="0">
                          <v:path arrowok="t" o:connecttype="custom" o:connectlocs="0,0;49213,103188;36513,103188;0,0" o:connectangles="0,0,0,0"/>
                        </v:shape>
                        <v:shape id="Volný tvar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004b8d [3215]" strokecolor="#004b8d [3215]" strokeweight="0">
                          <v:path arrowok="t" o:connecttype="custom" o:connectlocs="0,0;9525,26988;11113,66675;9525,61913;0,36513;0,0" o:connectangles="0,0,0,0,0,0"/>
                        </v:shape>
                        <v:shape id="Volný tvar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004b8d [3215]" strokecolor="#004b8d [3215]" strokeweight="0">
                          <v:path arrowok="t" o:connecttype="custom" o:connectlocs="0,0;9525,25400;33338,77788;52388,133350;71438,187325;69850,187325;20638,84138;17463,66675;0,0" o:connectangles="0,0,0,0,0,0,0,0,0"/>
                        </v:shape>
                      </v:group>
                      <v:group id="Skupina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olný tvar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004b8d [3215]" strokecolor="#004b8d [3215]" strokeweight="0">
                          <v:fill opacity="13107f"/>
                          <v:stroke opacity="13107f"/>
                          <v:path arrowok="t" o:connecttype="custom" o:connectlocs="0,0;65088,246063;136525,490538;198438,674688;198438,714375;125413,493713;65088,290513;11113,85725;0,0" o:connectangles="0,0,0,0,0,0,0,0,0"/>
                        </v:shape>
                        <v:shape id="Volný tvar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004b8d [3215]" strokecolor="#004b8d [3215]" strokeweight="0">
                          <v:fill opacity="13107f"/>
                          <v:stroke opacity="13107f"/>
                          <v:path arrowok="t" o:connecttype="custom" o:connectlocs="0,0;12700,31750;58738,152400;109538,269875;187325,436563;173038,436563;96838,276225;47625,158750;0,41275;0,0" o:connectangles="0,0,0,0,0,0,0,0,0,0"/>
                        </v:shape>
                        <v:shape id="Volný tvar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004b8d [3215]" strokecolor="#004b8d [3215]" strokeweight="0">
                          <v:fill opacity="13107f"/>
                          <v:stroke opacity="13107f"/>
                          <v:path arrowok="t" o:connecttype="custom" o:connectlocs="0,0;25400,114300;31750,192088;28575,177800;0,49213;0,0" o:connectangles="0,0,0,0,0,0"/>
                        </v:shape>
                        <v:shape id="Volný tvar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004b8d [3215]" strokecolor="#004b8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lný tvar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004b8d [3215]" strokecolor="#004b8d [3215]" strokeweight="0">
                          <v:fill opacity="13107f"/>
                          <v:stroke opacity="13107f"/>
                          <v:path arrowok="t" o:connecttype="custom" o:connectlocs="0,0;52388,112713;38100,112713;17463,57150;0,0" o:connectangles="0,0,0,0,0"/>
                        </v:shape>
                        <v:shape id="Volný tvar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004b8d [3215]" strokecolor="#004b8d [3215]" strokeweight="0">
                          <v:fill opacity="13107f"/>
                          <v:stroke opacity="13107f"/>
                          <v:path arrowok="t" o:connecttype="custom" o:connectlocs="0,0;12700,58738;12700,65088;23813,150813;6350,77788;0,0" o:connectangles="0,0,0,0,0,0"/>
                        </v:shape>
                        <v:shape id="Volný tvar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004b8d [3215]" strokecolor="#004b8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lný tvar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004b8d [3215]" strokecolor="#004b8d [3215]" strokeweight="0">
                          <v:fill opacity="13107f"/>
                          <v:stroke opacity="13107f"/>
                          <v:path arrowok="t" o:connecttype="custom" o:connectlocs="0,0;9525,23813;11113,28575;19050,127000;33338,212725;52388,298450;58738,311150;34925,257175;23813,231775;7938,128588;1588,63500;0,0" o:connectangles="0,0,0,0,0,0,0,0,0,0,0,0"/>
                        </v:shape>
                        <v:shape id="Volný tvar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004b8d [3215]" strokecolor="#004b8d [3215]" strokeweight="0">
                          <v:fill opacity="13107f"/>
                          <v:stroke opacity="13107f"/>
                          <v:path arrowok="t" o:connecttype="custom" o:connectlocs="0,0;49213,104775;38100,104775;0,0" o:connectangles="0,0,0,0"/>
                        </v:shape>
                        <v:shape id="Volný tvar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004b8d [3215]" strokecolor="#004b8d [3215]" strokeweight="0">
                          <v:fill opacity="13107f"/>
                          <v:stroke opacity="13107f"/>
                          <v:path arrowok="t" o:connecttype="custom" o:connectlocs="0,0;11113,26988;11113,68263;9525,63500;0,39688;0,0" o:connectangles="0,0,0,0,0,0"/>
                        </v:shape>
                        <v:shape id="Volný tvar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004b8d [3215]" strokecolor="#004b8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97E5392" w14:textId="77777777" w:rsidR="008A4043" w:rsidRDefault="008A4043" w:rsidP="008A4043">
          <w:pPr>
            <w:pStyle w:val="Bezmezer"/>
            <w:rPr>
              <w:rFonts w:cstheme="minorHAnsi"/>
              <w:b/>
            </w:rPr>
          </w:pPr>
        </w:p>
        <w:p w14:paraId="5E58F4E6" w14:textId="77777777" w:rsidR="008A4043" w:rsidRDefault="008A4043" w:rsidP="008A4043">
          <w:pPr>
            <w:pStyle w:val="Bezmezer"/>
            <w:rPr>
              <w:rFonts w:cstheme="minorHAnsi"/>
              <w:b/>
            </w:rPr>
          </w:pPr>
        </w:p>
        <w:p w14:paraId="15B8098D" w14:textId="18361D14" w:rsidR="008A4043" w:rsidRDefault="008A4043" w:rsidP="008A4043">
          <w:pPr>
            <w:pStyle w:val="Bezmezer"/>
            <w:rPr>
              <w:rFonts w:cstheme="minorHAnsi"/>
              <w:b/>
            </w:rPr>
          </w:pPr>
        </w:p>
        <w:p w14:paraId="50533293" w14:textId="6EA9D1C9" w:rsidR="008A4043" w:rsidRDefault="008A4043" w:rsidP="008A4043">
          <w:pPr>
            <w:pStyle w:val="Bezmezer"/>
            <w:rPr>
              <w:rFonts w:cstheme="minorHAnsi"/>
              <w:b/>
            </w:rPr>
          </w:pPr>
        </w:p>
        <w:p w14:paraId="22C80EC4" w14:textId="3B86CFC0" w:rsidR="008A4043" w:rsidRDefault="008A4043" w:rsidP="008A4043">
          <w:pPr>
            <w:pStyle w:val="Bezmezer"/>
            <w:rPr>
              <w:rFonts w:cstheme="minorHAnsi"/>
              <w:b/>
            </w:rPr>
          </w:pPr>
        </w:p>
        <w:p w14:paraId="6FEB351D" w14:textId="02C27977" w:rsidR="008A4043" w:rsidRDefault="008A4043" w:rsidP="008A4043">
          <w:pPr>
            <w:pStyle w:val="Bezmezer"/>
            <w:rPr>
              <w:rFonts w:cstheme="minorHAnsi"/>
              <w:b/>
            </w:rPr>
          </w:pPr>
          <w:r>
            <w:rPr>
              <w:noProof/>
              <w:lang w:eastAsia="cs-CZ"/>
            </w:rPr>
            <mc:AlternateContent>
              <mc:Choice Requires="wps">
                <w:drawing>
                  <wp:anchor distT="0" distB="0" distL="114300" distR="114300" simplePos="0" relativeHeight="251663360" behindDoc="0" locked="0" layoutInCell="1" allowOverlap="1" wp14:anchorId="12457916" wp14:editId="14A5E2CB">
                    <wp:simplePos x="0" y="0"/>
                    <wp:positionH relativeFrom="margin">
                      <wp:align>right</wp:align>
                    </wp:positionH>
                    <wp:positionV relativeFrom="page">
                      <wp:posOffset>1924050</wp:posOffset>
                    </wp:positionV>
                    <wp:extent cx="3638550" cy="1069848"/>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363855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706DAB" w14:textId="78CD036A" w:rsidR="008A4043" w:rsidRPr="00F764F1" w:rsidRDefault="00E70A5F" w:rsidP="008A4043">
                                <w:pPr>
                                  <w:pStyle w:val="Bezmezer"/>
                                  <w:rPr>
                                    <w:rFonts w:asciiTheme="majorHAnsi" w:eastAsiaTheme="majorEastAsia" w:hAnsiTheme="majorHAnsi" w:cstheme="majorBidi"/>
                                    <w:color w:val="262626" w:themeColor="text1" w:themeTint="D9"/>
                                    <w:sz w:val="52"/>
                                    <w:szCs w:val="18"/>
                                  </w:rPr>
                                </w:pPr>
                                <w:sdt>
                                  <w:sdtPr>
                                    <w:rPr>
                                      <w:rFonts w:asciiTheme="majorHAnsi" w:eastAsiaTheme="majorEastAsia" w:hAnsiTheme="majorHAnsi" w:cstheme="majorBidi"/>
                                      <w:color w:val="262626" w:themeColor="text1" w:themeTint="D9"/>
                                      <w:sz w:val="52"/>
                                      <w:szCs w:val="52"/>
                                    </w:rPr>
                                    <w:alias w:val="Název"/>
                                    <w:tag w:val=""/>
                                    <w:id w:val="795345020"/>
                                    <w:dataBinding w:prefixMappings="xmlns:ns0='http://purl.org/dc/elements/1.1/' xmlns:ns1='http://schemas.openxmlformats.org/package/2006/metadata/core-properties' " w:xpath="/ns1:coreProperties[1]/ns0:title[1]" w:storeItemID="{6C3C8BC8-F283-45AE-878A-BAB7291924A1}"/>
                                    <w:text/>
                                  </w:sdtPr>
                                  <w:sdtEndPr/>
                                  <w:sdtContent>
                                    <w:r w:rsidR="001B2DC2">
                                      <w:rPr>
                                        <w:rFonts w:asciiTheme="majorHAnsi" w:eastAsiaTheme="majorEastAsia" w:hAnsiTheme="majorHAnsi" w:cstheme="majorBidi"/>
                                        <w:color w:val="262626" w:themeColor="text1" w:themeTint="D9"/>
                                        <w:sz w:val="52"/>
                                        <w:szCs w:val="52"/>
                                      </w:rPr>
                                      <w:t>Tripartita</w:t>
                                    </w:r>
                                  </w:sdtContent>
                                </w:sdt>
                              </w:p>
                              <w:p w14:paraId="4C2C10DD" w14:textId="2ABA1D6B" w:rsidR="008A4043" w:rsidRDefault="00E70A5F" w:rsidP="008A4043">
                                <w:pPr>
                                  <w:spacing w:before="120"/>
                                  <w:rPr>
                                    <w:color w:val="404040" w:themeColor="text1" w:themeTint="BF"/>
                                    <w:sz w:val="36"/>
                                    <w:szCs w:val="36"/>
                                  </w:rPr>
                                </w:pPr>
                                <w:sdt>
                                  <w:sdtPr>
                                    <w:rPr>
                                      <w:color w:val="404040" w:themeColor="text1" w:themeTint="BF"/>
                                      <w:sz w:val="36"/>
                                      <w:szCs w:val="36"/>
                                    </w:rPr>
                                    <w:alias w:val="Podtitul"/>
                                    <w:tag w:val=""/>
                                    <w:id w:val="-864740841"/>
                                    <w:dataBinding w:prefixMappings="xmlns:ns0='http://purl.org/dc/elements/1.1/' xmlns:ns1='http://schemas.openxmlformats.org/package/2006/metadata/core-properties' " w:xpath="/ns1:coreProperties[1]/ns0:subject[1]" w:storeItemID="{6C3C8BC8-F283-45AE-878A-BAB7291924A1}"/>
                                    <w:text/>
                                  </w:sdtPr>
                                  <w:sdtEndPr/>
                                  <w:sdtContent>
                                    <w:r w:rsidR="00F764F1">
                                      <w:rPr>
                                        <w:color w:val="404040" w:themeColor="text1" w:themeTint="BF"/>
                                        <w:sz w:val="36"/>
                                        <w:szCs w:val="36"/>
                                      </w:rPr>
                                      <w:t xml:space="preserve">Implementace </w:t>
                                    </w:r>
                                    <w:r w:rsidR="008A4043">
                                      <w:rPr>
                                        <w:color w:val="404040" w:themeColor="text1" w:themeTint="BF"/>
                                        <w:sz w:val="36"/>
                                        <w:szCs w:val="36"/>
                                      </w:rPr>
                                      <w:t>Exportní strategie</w:t>
                                    </w:r>
                                    <w:r w:rsidR="00F764F1">
                                      <w:rPr>
                                        <w:color w:val="404040" w:themeColor="text1" w:themeTint="BF"/>
                                        <w:sz w:val="36"/>
                                        <w:szCs w:val="36"/>
                                      </w:rPr>
                                      <w:t xml:space="preserve"> 2023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457916" id="_x0000_t202" coordsize="21600,21600" o:spt="202" path="m,l,21600r21600,l21600,xe">
                    <v:stroke joinstyle="miter"/>
                    <v:path gradientshapeok="t" o:connecttype="rect"/>
                  </v:shapetype>
                  <v:shape id="Textové pole 1" o:spid="_x0000_s1055" type="#_x0000_t202" style="position:absolute;margin-left:235.3pt;margin-top:151.5pt;width:286.5pt;height:84.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" filled="f" stroked="f" strokeweight=".5pt">
                    <v:textbox style="mso-fit-shape-to-text:t" inset="0,0,0,0">
                      <w:txbxContent>
                        <w:p w14:paraId="38706DAB" w14:textId="78CD036A" w:rsidR="008A4043" w:rsidRPr="00F764F1" w:rsidRDefault="00940A21" w:rsidP="008A4043">
                          <w:pPr>
                            <w:pStyle w:val="Bezmezer"/>
                            <w:rPr>
                              <w:rFonts w:asciiTheme="majorHAnsi" w:eastAsiaTheme="majorEastAsia" w:hAnsiTheme="majorHAnsi" w:cstheme="majorBidi"/>
                              <w:color w:val="262626" w:themeColor="text1" w:themeTint="D9"/>
                              <w:sz w:val="52"/>
                              <w:szCs w:val="18"/>
                            </w:rPr>
                          </w:pPr>
                          <w:sdt>
                            <w:sdtPr>
                              <w:rPr>
                                <w:rFonts w:asciiTheme="majorHAnsi" w:eastAsiaTheme="majorEastAsia" w:hAnsiTheme="majorHAnsi" w:cstheme="majorBidi"/>
                                <w:color w:val="262626" w:themeColor="text1" w:themeTint="D9"/>
                                <w:sz w:val="52"/>
                                <w:szCs w:val="52"/>
                              </w:rPr>
                              <w:alias w:val="Název"/>
                              <w:tag w:val=""/>
                              <w:id w:val="795345020"/>
                              <w:dataBinding w:prefixMappings="xmlns:ns0='http://purl.org/dc/elements/1.1/' xmlns:ns1='http://schemas.openxmlformats.org/package/2006/metadata/core-properties' " w:xpath="/ns1:coreProperties[1]/ns0:title[1]" w:storeItemID="{6C3C8BC8-F283-45AE-878A-BAB7291924A1}"/>
                              <w:text/>
                            </w:sdtPr>
                            <w:sdtEndPr/>
                            <w:sdtContent>
                              <w:r w:rsidR="001B2DC2">
                                <w:rPr>
                                  <w:rFonts w:asciiTheme="majorHAnsi" w:eastAsiaTheme="majorEastAsia" w:hAnsiTheme="majorHAnsi" w:cstheme="majorBidi"/>
                                  <w:color w:val="262626" w:themeColor="text1" w:themeTint="D9"/>
                                  <w:sz w:val="52"/>
                                  <w:szCs w:val="52"/>
                                </w:rPr>
                                <w:t>Tripartita</w:t>
                              </w:r>
                            </w:sdtContent>
                          </w:sdt>
                        </w:p>
                        <w:p w14:paraId="4C2C10DD" w14:textId="2ABA1D6B" w:rsidR="008A4043" w:rsidRDefault="00940A21" w:rsidP="008A4043">
                          <w:pPr>
                            <w:spacing w:before="120"/>
                            <w:rPr>
                              <w:color w:val="404040" w:themeColor="text1" w:themeTint="BF"/>
                              <w:sz w:val="36"/>
                              <w:szCs w:val="36"/>
                            </w:rPr>
                          </w:pPr>
                          <w:sdt>
                            <w:sdtPr>
                              <w:rPr>
                                <w:color w:val="404040" w:themeColor="text1" w:themeTint="BF"/>
                                <w:sz w:val="36"/>
                                <w:szCs w:val="36"/>
                              </w:rPr>
                              <w:alias w:val="Podtitul"/>
                              <w:tag w:val=""/>
                              <w:id w:val="-864740841"/>
                              <w:dataBinding w:prefixMappings="xmlns:ns0='http://purl.org/dc/elements/1.1/' xmlns:ns1='http://schemas.openxmlformats.org/package/2006/metadata/core-properties' " w:xpath="/ns1:coreProperties[1]/ns0:subject[1]" w:storeItemID="{6C3C8BC8-F283-45AE-878A-BAB7291924A1}"/>
                              <w:text/>
                            </w:sdtPr>
                            <w:sdtEndPr/>
                            <w:sdtContent>
                              <w:r w:rsidR="00F764F1">
                                <w:rPr>
                                  <w:color w:val="404040" w:themeColor="text1" w:themeTint="BF"/>
                                  <w:sz w:val="36"/>
                                  <w:szCs w:val="36"/>
                                </w:rPr>
                                <w:t xml:space="preserve">Implementace </w:t>
                              </w:r>
                              <w:r w:rsidR="008A4043">
                                <w:rPr>
                                  <w:color w:val="404040" w:themeColor="text1" w:themeTint="BF"/>
                                  <w:sz w:val="36"/>
                                  <w:szCs w:val="36"/>
                                </w:rPr>
                                <w:t>Exportní strategie</w:t>
                              </w:r>
                              <w:r w:rsidR="00F764F1">
                                <w:rPr>
                                  <w:color w:val="404040" w:themeColor="text1" w:themeTint="BF"/>
                                  <w:sz w:val="36"/>
                                  <w:szCs w:val="36"/>
                                </w:rPr>
                                <w:t xml:space="preserve"> 2023</w:t>
                              </w:r>
                            </w:sdtContent>
                          </w:sdt>
                        </w:p>
                      </w:txbxContent>
                    </v:textbox>
                    <w10:wrap anchorx="margin" anchory="page"/>
                  </v:shape>
                </w:pict>
              </mc:Fallback>
            </mc:AlternateContent>
          </w:r>
        </w:p>
        <w:p w14:paraId="2D61976B" w14:textId="77777777" w:rsidR="008A4043" w:rsidRDefault="008A4043" w:rsidP="008A4043">
          <w:pPr>
            <w:pStyle w:val="Bezmezer"/>
            <w:rPr>
              <w:rFonts w:cstheme="minorHAnsi"/>
              <w:b/>
            </w:rPr>
          </w:pPr>
        </w:p>
        <w:p w14:paraId="13FA9D58" w14:textId="77777777" w:rsidR="008A4043" w:rsidRDefault="008A4043" w:rsidP="008A4043">
          <w:pPr>
            <w:pStyle w:val="Bezmezer"/>
            <w:rPr>
              <w:rFonts w:cstheme="minorHAnsi"/>
              <w:b/>
            </w:rPr>
          </w:pPr>
        </w:p>
        <w:p w14:paraId="1072F8A9" w14:textId="5F7CA90C" w:rsidR="008A4043" w:rsidRDefault="008A4043" w:rsidP="008A4043">
          <w:pPr>
            <w:pStyle w:val="Bezmezer"/>
            <w:rPr>
              <w:rFonts w:cstheme="minorHAnsi"/>
              <w:b/>
            </w:rPr>
          </w:pPr>
        </w:p>
        <w:p w14:paraId="25BA2E02" w14:textId="77777777" w:rsidR="008A4043" w:rsidRDefault="008A4043" w:rsidP="008A4043">
          <w:pPr>
            <w:pStyle w:val="Bezmezer"/>
            <w:rPr>
              <w:rFonts w:cstheme="minorHAnsi"/>
              <w:b/>
            </w:rPr>
          </w:pPr>
        </w:p>
        <w:p w14:paraId="7283C88F" w14:textId="3214DD4E" w:rsidR="008A4043" w:rsidRDefault="008A4043" w:rsidP="008A4043">
          <w:pPr>
            <w:pStyle w:val="Bezmezer"/>
            <w:rPr>
              <w:rFonts w:cstheme="minorHAnsi"/>
              <w:b/>
            </w:rPr>
          </w:pPr>
        </w:p>
        <w:p w14:paraId="44B1FAE1" w14:textId="4ED52308" w:rsidR="008A4043" w:rsidRDefault="008A4043" w:rsidP="008A4043">
          <w:pPr>
            <w:pStyle w:val="Bezmezer"/>
            <w:rPr>
              <w:rFonts w:cstheme="minorHAnsi"/>
              <w:b/>
            </w:rPr>
          </w:pPr>
        </w:p>
        <w:p w14:paraId="7AF256FC" w14:textId="77777777" w:rsidR="008A4043" w:rsidRDefault="008A4043" w:rsidP="008A4043">
          <w:pPr>
            <w:pStyle w:val="Bezmezer"/>
            <w:rPr>
              <w:rFonts w:cstheme="minorHAnsi"/>
              <w:b/>
            </w:rPr>
          </w:pPr>
        </w:p>
        <w:p w14:paraId="3E000C2A" w14:textId="45157A8D" w:rsidR="008A4043" w:rsidRDefault="008A4043" w:rsidP="008A4043">
          <w:pPr>
            <w:pStyle w:val="Bezmezer"/>
            <w:rPr>
              <w:rFonts w:cstheme="minorHAnsi"/>
              <w:b/>
            </w:rPr>
          </w:pPr>
        </w:p>
        <w:p w14:paraId="22DF8299" w14:textId="77777777" w:rsidR="008A4043" w:rsidRDefault="008A4043" w:rsidP="008A4043">
          <w:pPr>
            <w:pStyle w:val="Bezmezer"/>
            <w:rPr>
              <w:rFonts w:cstheme="minorHAnsi"/>
              <w:b/>
            </w:rPr>
          </w:pPr>
        </w:p>
        <w:p w14:paraId="73A1EB2A" w14:textId="7159AF05" w:rsidR="008A4043" w:rsidRDefault="008A4043" w:rsidP="008A4043">
          <w:pPr>
            <w:pStyle w:val="Bezmezer"/>
            <w:rPr>
              <w:rFonts w:cstheme="minorHAnsi"/>
              <w:b/>
            </w:rPr>
          </w:pPr>
        </w:p>
        <w:p w14:paraId="25C7A451" w14:textId="77777777" w:rsidR="008A4043" w:rsidRDefault="008A4043" w:rsidP="008A4043">
          <w:pPr>
            <w:pStyle w:val="Bezmezer"/>
            <w:rPr>
              <w:rFonts w:cstheme="minorHAnsi"/>
              <w:b/>
            </w:rPr>
          </w:pPr>
        </w:p>
        <w:p w14:paraId="76F78D37" w14:textId="77777777" w:rsidR="008A4043" w:rsidRDefault="008A4043" w:rsidP="008A4043">
          <w:pPr>
            <w:pStyle w:val="Bezmezer"/>
            <w:rPr>
              <w:rFonts w:cstheme="minorHAnsi"/>
              <w:b/>
            </w:rPr>
          </w:pPr>
        </w:p>
        <w:p w14:paraId="11F1765D" w14:textId="77777777" w:rsidR="008A4043" w:rsidRDefault="008A4043" w:rsidP="008A4043">
          <w:pPr>
            <w:pStyle w:val="Bezmezer"/>
            <w:rPr>
              <w:rFonts w:cstheme="minorHAnsi"/>
              <w:b/>
            </w:rPr>
          </w:pPr>
        </w:p>
        <w:p w14:paraId="7756792A" w14:textId="79DA0257" w:rsidR="008A4043" w:rsidRPr="003013F8" w:rsidRDefault="00E70A5F" w:rsidP="008A4043">
          <w:pPr>
            <w:spacing w:after="200" w:line="276" w:lineRule="auto"/>
            <w:rPr>
              <w:rFonts w:eastAsiaTheme="minorEastAsia" w:cstheme="minorHAnsi"/>
              <w:b/>
              <w:lang w:val="en-US"/>
            </w:rPr>
          </w:pPr>
        </w:p>
      </w:sdtContent>
    </w:sdt>
    <w:bookmarkEnd w:id="0" w:displacedByCustomXml="prev"/>
    <w:p w14:paraId="69C9CCEC" w14:textId="31F27F1B" w:rsidR="008A4043" w:rsidRDefault="008A4043" w:rsidP="005067E1">
      <w:pPr>
        <w:pStyle w:val="Nzev"/>
        <w:contextualSpacing w:val="0"/>
      </w:pPr>
    </w:p>
    <w:p w14:paraId="3F02F4DE" w14:textId="4E6E2A41" w:rsidR="008A4043" w:rsidRDefault="008A4043" w:rsidP="008A4043"/>
    <w:p w14:paraId="05D5B214" w14:textId="721D6162" w:rsidR="008A4043" w:rsidRDefault="008A4043" w:rsidP="008A4043"/>
    <w:p w14:paraId="6C2DEEAD" w14:textId="392A4946" w:rsidR="008A4043" w:rsidRDefault="008A4043" w:rsidP="008A4043"/>
    <w:p w14:paraId="2649E7F6" w14:textId="7C54808F" w:rsidR="008A4043" w:rsidRDefault="008A4043" w:rsidP="008A4043"/>
    <w:p w14:paraId="50D4F6FE" w14:textId="151450A8" w:rsidR="008A4043" w:rsidRDefault="008A4043" w:rsidP="008A4043"/>
    <w:p w14:paraId="47670377" w14:textId="55FCBC2E" w:rsidR="008A4043" w:rsidRDefault="008A4043" w:rsidP="008A4043"/>
    <w:p w14:paraId="5BCC0348" w14:textId="3CA6C171" w:rsidR="008A4043" w:rsidRDefault="008A4043" w:rsidP="008A4043"/>
    <w:p w14:paraId="6457CF2F" w14:textId="17B434B0" w:rsidR="008A4043" w:rsidRDefault="008A4043" w:rsidP="008A4043"/>
    <w:p w14:paraId="77560C04" w14:textId="3B17EB9E" w:rsidR="008A4043" w:rsidRDefault="008A4043" w:rsidP="008A4043"/>
    <w:p w14:paraId="1FB6D11C" w14:textId="057A62DB" w:rsidR="008A4043" w:rsidRDefault="008A4043" w:rsidP="008A4043"/>
    <w:p w14:paraId="435CB69A" w14:textId="56D6099C" w:rsidR="008A4043" w:rsidRDefault="008A4043" w:rsidP="008A4043"/>
    <w:p w14:paraId="6C3B9370" w14:textId="449433DC" w:rsidR="008A4043" w:rsidRDefault="008A4043" w:rsidP="008A4043"/>
    <w:p w14:paraId="049668A6" w14:textId="19396719" w:rsidR="008A4043" w:rsidRDefault="008A4043" w:rsidP="008A4043"/>
    <w:p w14:paraId="4A34E5CD" w14:textId="3F366E1D" w:rsidR="008A4043" w:rsidRDefault="008A4043" w:rsidP="008A4043"/>
    <w:p w14:paraId="262B2B26" w14:textId="612317C3" w:rsidR="008A4043" w:rsidRDefault="008A4043" w:rsidP="008A4043"/>
    <w:p w14:paraId="1A536E35" w14:textId="0DB79CFB" w:rsidR="008A4043" w:rsidRDefault="008A4043" w:rsidP="008A4043"/>
    <w:p w14:paraId="6A29A93E" w14:textId="403A298D" w:rsidR="008A4043" w:rsidRDefault="008A4043" w:rsidP="008A4043">
      <w:pPr>
        <w:pStyle w:val="Nadpisobsahu"/>
      </w:pPr>
      <w:r>
        <w:lastRenderedPageBreak/>
        <w:t>Exekutivní shrnutí plnění Exportní strategie</w:t>
      </w:r>
      <w:r w:rsidR="00AC3C0C">
        <w:t xml:space="preserve"> </w:t>
      </w:r>
      <w:r w:rsidR="00F50DAF">
        <w:t>v</w:t>
      </w:r>
      <w:r w:rsidR="000F25DC">
        <w:t> </w:t>
      </w:r>
      <w:r w:rsidR="00F50DAF">
        <w:t>roce</w:t>
      </w:r>
      <w:r w:rsidR="00AC3C0C">
        <w:t xml:space="preserve"> 2023</w:t>
      </w:r>
    </w:p>
    <w:p w14:paraId="02F3EF7A" w14:textId="1E28D446" w:rsidR="00333AAA" w:rsidRDefault="00143362" w:rsidP="009C1720">
      <w:pPr>
        <w:pStyle w:val="Bezmezer"/>
        <w:spacing w:after="80"/>
        <w:jc w:val="both"/>
      </w:pPr>
      <w:r>
        <w:t xml:space="preserve">Po schválení Exportní strategie ČR 2023-2033 usnesením vlády ČR </w:t>
      </w:r>
      <w:r w:rsidRPr="00E32DC7">
        <w:t xml:space="preserve">č. 599 ze dne 26. července </w:t>
      </w:r>
      <w:r w:rsidR="008A4043">
        <w:t>2023 byl</w:t>
      </w:r>
      <w:r w:rsidR="009008D0">
        <w:t xml:space="preserve"> v září 2023 ustanoven Řídící výbor Exportní strategie</w:t>
      </w:r>
      <w:r w:rsidR="001060EC">
        <w:t xml:space="preserve"> (ŘVES)</w:t>
      </w:r>
      <w:r w:rsidR="009008D0">
        <w:t xml:space="preserve"> a </w:t>
      </w:r>
      <w:r w:rsidR="008A4043">
        <w:t xml:space="preserve">zahájena </w:t>
      </w:r>
      <w:r w:rsidR="001060EC">
        <w:t xml:space="preserve">postupná </w:t>
      </w:r>
      <w:r w:rsidR="008A4043">
        <w:t xml:space="preserve">implementace v opatření </w:t>
      </w:r>
      <w:r w:rsidR="001B2DC2">
        <w:t xml:space="preserve">přispívajících </w:t>
      </w:r>
      <w:r w:rsidR="008A4043" w:rsidRPr="00E32DC7">
        <w:t>k</w:t>
      </w:r>
      <w:r w:rsidR="000F25DC">
        <w:t> </w:t>
      </w:r>
      <w:r w:rsidR="008A4043" w:rsidRPr="00E32DC7">
        <w:t>naplňování</w:t>
      </w:r>
      <w:r w:rsidR="008A4043">
        <w:t xml:space="preserve"> cílů Strategie</w:t>
      </w:r>
      <w:r w:rsidR="001060EC">
        <w:t>, přičemž 14 z nich (z celkových 41)  bylo na prvním zasedání ŘVES identifikováno jako prioritních</w:t>
      </w:r>
      <w:r w:rsidR="008A4043" w:rsidRPr="00E32DC7">
        <w:t>.</w:t>
      </w:r>
      <w:r w:rsidR="008A4043">
        <w:t xml:space="preserve"> </w:t>
      </w:r>
      <w:r w:rsidR="0016059B">
        <w:t xml:space="preserve">Mezi vybraná </w:t>
      </w:r>
      <w:r w:rsidR="009008D0">
        <w:t>prioritní opatření</w:t>
      </w:r>
      <w:r w:rsidR="00930CAC">
        <w:t xml:space="preserve">, která již byla zcela implementována, nebo se nachází v pokročilé fázi jejich implementace, </w:t>
      </w:r>
      <w:r w:rsidR="0016059B">
        <w:t xml:space="preserve">například </w:t>
      </w:r>
      <w:r w:rsidR="00930CAC">
        <w:t>patří</w:t>
      </w:r>
      <w:r w:rsidR="009008D0">
        <w:t xml:space="preserve"> </w:t>
      </w:r>
      <w:r w:rsidR="008A4043" w:rsidRPr="009D7B52">
        <w:t>rozvoj Jednotné zahraniční sítě</w:t>
      </w:r>
      <w:r w:rsidR="009008D0">
        <w:t>,</w:t>
      </w:r>
      <w:r w:rsidR="009C1720">
        <w:t xml:space="preserve"> </w:t>
      </w:r>
      <w:r w:rsidR="009008D0">
        <w:t xml:space="preserve">řešení </w:t>
      </w:r>
      <w:r w:rsidR="008A4043" w:rsidRPr="009D7B52">
        <w:t>nedostatku pracovní</w:t>
      </w:r>
      <w:r w:rsidR="009008D0">
        <w:t xml:space="preserve"> síly</w:t>
      </w:r>
      <w:r w:rsidR="008A4043" w:rsidRPr="009D7B52">
        <w:t xml:space="preserve"> </w:t>
      </w:r>
      <w:r w:rsidR="009C1720">
        <w:t>v ČR, služby pro</w:t>
      </w:r>
      <w:r w:rsidR="008A4043" w:rsidRPr="000D5A9A">
        <w:t xml:space="preserve"> </w:t>
      </w:r>
      <w:r w:rsidR="009C1720">
        <w:t xml:space="preserve">internacionalizaci </w:t>
      </w:r>
      <w:r w:rsidR="008A4043" w:rsidRPr="000D5A9A">
        <w:t>start</w:t>
      </w:r>
      <w:r w:rsidR="008A4043">
        <w:t>upů</w:t>
      </w:r>
      <w:r w:rsidR="009C1720">
        <w:t xml:space="preserve">, </w:t>
      </w:r>
      <w:r w:rsidR="00930CAC">
        <w:t>podpora</w:t>
      </w:r>
      <w:r w:rsidR="00930CAC" w:rsidRPr="000D5A9A">
        <w:t xml:space="preserve"> </w:t>
      </w:r>
      <w:r w:rsidR="009C1720">
        <w:t xml:space="preserve">společných </w:t>
      </w:r>
      <w:r w:rsidR="008A4043">
        <w:t>účast</w:t>
      </w:r>
      <w:r w:rsidR="009C1720">
        <w:t>í</w:t>
      </w:r>
      <w:r w:rsidR="008A4043">
        <w:t xml:space="preserve"> na zahraničních výstavách a</w:t>
      </w:r>
      <w:r w:rsidR="000F25DC">
        <w:t> </w:t>
      </w:r>
      <w:r w:rsidR="008A4043">
        <w:t>veletrzích</w:t>
      </w:r>
      <w:r w:rsidR="009C1720">
        <w:t xml:space="preserve">, budování značky ČR, rozvoj služeb přispívajících k trvalému působení českých společností v zahraničí, </w:t>
      </w:r>
      <w:r w:rsidR="00930CAC">
        <w:t xml:space="preserve">sbližování NRB a ČEB a implementace služeb v oblasti </w:t>
      </w:r>
      <w:r w:rsidR="009C1720">
        <w:t>exportní</w:t>
      </w:r>
      <w:r w:rsidR="00930CAC">
        <w:t>ho</w:t>
      </w:r>
      <w:r w:rsidR="009C1720">
        <w:t xml:space="preserve"> financování a pojišťování</w:t>
      </w:r>
      <w:r w:rsidR="00333AAA">
        <w:t>.</w:t>
      </w:r>
      <w:r w:rsidR="00797C79">
        <w:t xml:space="preserve"> Materiál níže shrnuje aktuální stav jednotlivých vybraných opatření.</w:t>
      </w:r>
    </w:p>
    <w:p w14:paraId="78100A77" w14:textId="5D54A131" w:rsidR="008A4043" w:rsidRDefault="00333AAA" w:rsidP="009C1720">
      <w:pPr>
        <w:pStyle w:val="Bezmezer"/>
        <w:spacing w:after="80"/>
        <w:jc w:val="both"/>
      </w:pPr>
      <w:r>
        <w:t>V roce 2024 se předpokládá pokračování implementace</w:t>
      </w:r>
      <w:r w:rsidR="009B7BFD">
        <w:t xml:space="preserve"> a plnění stanovených úkolů</w:t>
      </w:r>
      <w:r w:rsidR="00F13BA3">
        <w:t xml:space="preserve"> prioritních opatření</w:t>
      </w:r>
      <w:r w:rsidR="009B7BFD">
        <w:t xml:space="preserve">. </w:t>
      </w:r>
      <w:r w:rsidR="00F13BA3">
        <w:t>Zároveň však v</w:t>
      </w:r>
      <w:r>
        <w:t xml:space="preserve"> rámci </w:t>
      </w:r>
      <w:r w:rsidR="009B7BFD">
        <w:t>implementační platformy</w:t>
      </w:r>
      <w:r w:rsidR="00F13BA3">
        <w:t xml:space="preserve"> (Ř</w:t>
      </w:r>
      <w:r w:rsidR="001060EC">
        <w:t>VES</w:t>
      </w:r>
      <w:r w:rsidR="00F13BA3">
        <w:t>)</w:t>
      </w:r>
      <w:r w:rsidR="009B7BFD">
        <w:t xml:space="preserve"> </w:t>
      </w:r>
      <w:r w:rsidR="001B2DC2">
        <w:t>se předpokládá</w:t>
      </w:r>
      <w:r>
        <w:t xml:space="preserve"> </w:t>
      </w:r>
      <w:r w:rsidR="001B2DC2">
        <w:t>aktualizace</w:t>
      </w:r>
      <w:r>
        <w:t xml:space="preserve"> seznam</w:t>
      </w:r>
      <w:r w:rsidR="001B2DC2">
        <w:t>u</w:t>
      </w:r>
      <w:r>
        <w:t xml:space="preserve"> prioritních opatření, zejména ve smyslu přidání dalších</w:t>
      </w:r>
      <w:r w:rsidR="009B7BFD">
        <w:t xml:space="preserve"> opatření </w:t>
      </w:r>
      <w:r>
        <w:t xml:space="preserve">na základě </w:t>
      </w:r>
      <w:r w:rsidR="001B2DC2">
        <w:t>současných</w:t>
      </w:r>
      <w:r w:rsidR="009B7BFD">
        <w:t xml:space="preserve"> </w:t>
      </w:r>
      <w:r>
        <w:t xml:space="preserve">potřeb a rozhodnutí </w:t>
      </w:r>
      <w:r w:rsidR="00F13BA3">
        <w:t>zapojených partnerů ze státní správy a podnikatelských reprezentací</w:t>
      </w:r>
      <w:r w:rsidR="009B7BFD">
        <w:t>. Pro rok 2024</w:t>
      </w:r>
      <w:r w:rsidR="004F545F">
        <w:t xml:space="preserve"> </w:t>
      </w:r>
      <w:r w:rsidR="009B7BFD">
        <w:t>jsou plánován</w:t>
      </w:r>
      <w:r w:rsidR="001B2DC2">
        <w:t>a</w:t>
      </w:r>
      <w:r w:rsidR="009B7BFD">
        <w:t xml:space="preserve"> </w:t>
      </w:r>
      <w:r w:rsidR="004F545F">
        <w:t>čtyři</w:t>
      </w:r>
      <w:r w:rsidR="009B7BFD">
        <w:t xml:space="preserve"> zasedání</w:t>
      </w:r>
      <w:r w:rsidR="00F13BA3">
        <w:t xml:space="preserve"> Řídícího výboru Exportní strategie</w:t>
      </w:r>
      <w:r w:rsidR="004F545F">
        <w:t>.</w:t>
      </w:r>
      <w:r w:rsidR="009B7BFD">
        <w:t xml:space="preserve"> </w:t>
      </w:r>
      <w:r w:rsidR="004F545F">
        <w:t>Významným úkolem v oblast</w:t>
      </w:r>
      <w:r w:rsidR="009B7BFD">
        <w:t>i</w:t>
      </w:r>
      <w:r w:rsidR="004F545F">
        <w:t xml:space="preserve"> podpory exportu je zejména restart platformy sdílené podpory podnikání (dříve tzv. Tým Česko) a tím i rozvoj systémového nastavení proexportního ekosystému </w:t>
      </w:r>
      <w:r w:rsidR="009B7BFD">
        <w:t xml:space="preserve">včetně uplatňování principu „No </w:t>
      </w:r>
      <w:r w:rsidR="001B2DC2">
        <w:t>W</w:t>
      </w:r>
      <w:r w:rsidR="009B7BFD">
        <w:t xml:space="preserve">rong </w:t>
      </w:r>
      <w:r w:rsidR="001B2DC2">
        <w:t>D</w:t>
      </w:r>
      <w:r w:rsidR="009B7BFD">
        <w:t xml:space="preserve">oor“. </w:t>
      </w:r>
    </w:p>
    <w:p w14:paraId="584D576C" w14:textId="3E41C31C" w:rsidR="00F13BA3" w:rsidRDefault="008A4043" w:rsidP="00255D79">
      <w:pPr>
        <w:pStyle w:val="Bezmezer"/>
        <w:spacing w:after="80"/>
        <w:jc w:val="both"/>
      </w:pPr>
      <w:r w:rsidRPr="00D31B3C">
        <w:t>Státní podpor</w:t>
      </w:r>
      <w:r w:rsidR="00333AAA">
        <w:t>a</w:t>
      </w:r>
      <w:r w:rsidRPr="00D31B3C">
        <w:t xml:space="preserve"> exportu, jak ji nastavuje Exportní strategie, </w:t>
      </w:r>
      <w:r w:rsidR="00F13BA3">
        <w:t xml:space="preserve">nadále </w:t>
      </w:r>
      <w:r w:rsidRPr="00D31B3C">
        <w:t>představuje</w:t>
      </w:r>
      <w:r w:rsidR="001060EC">
        <w:t xml:space="preserve"> jeden z</w:t>
      </w:r>
      <w:r w:rsidR="00A259A5">
        <w:t> </w:t>
      </w:r>
      <w:r w:rsidR="001060EC">
        <w:t>nejefektivnějších</w:t>
      </w:r>
      <w:r w:rsidR="00A259A5">
        <w:t xml:space="preserve"> </w:t>
      </w:r>
      <w:r w:rsidRPr="00D31B3C">
        <w:t>způsob</w:t>
      </w:r>
      <w:r w:rsidR="001060EC">
        <w:t>ů</w:t>
      </w:r>
      <w:r w:rsidRPr="00D31B3C">
        <w:t xml:space="preserve"> pomoci českým společnostem překonat současné výzvy, které přináší geopolitická nejistota</w:t>
      </w:r>
      <w:r w:rsidR="00F13BA3">
        <w:t xml:space="preserve"> a s tím související</w:t>
      </w:r>
      <w:r w:rsidRPr="00D31B3C">
        <w:t xml:space="preserve"> ztráta některých trhů, </w:t>
      </w:r>
      <w:r w:rsidR="001060EC">
        <w:t xml:space="preserve">a které vycházejí z </w:t>
      </w:r>
      <w:r w:rsidRPr="00D31B3C">
        <w:t>narušení dodavatelských řetězců, zvyšování ceny energií, surovin a</w:t>
      </w:r>
      <w:r w:rsidR="000F25DC">
        <w:t> </w:t>
      </w:r>
      <w:r w:rsidRPr="00D31B3C">
        <w:t>dalších vstupů</w:t>
      </w:r>
      <w:r w:rsidR="00F13BA3">
        <w:t>. Zároveň je nástrojem státu pro reakci na</w:t>
      </w:r>
      <w:r w:rsidR="00F13BA3" w:rsidRPr="00D31B3C">
        <w:t xml:space="preserve"> </w:t>
      </w:r>
      <w:r w:rsidRPr="00D31B3C">
        <w:t>stagnující domácí a</w:t>
      </w:r>
      <w:r w:rsidR="000F25DC">
        <w:t> </w:t>
      </w:r>
      <w:r w:rsidR="001060EC">
        <w:t xml:space="preserve">(v některých zemích) </w:t>
      </w:r>
      <w:r w:rsidRPr="00D31B3C">
        <w:t>zahraniční poptávk</w:t>
      </w:r>
      <w:r w:rsidR="00F13BA3">
        <w:t>u</w:t>
      </w:r>
      <w:r w:rsidRPr="00D31B3C">
        <w:t xml:space="preserve">. </w:t>
      </w:r>
    </w:p>
    <w:p w14:paraId="528CD128" w14:textId="18D1DEB7" w:rsidR="00390290" w:rsidRDefault="002A6B7D" w:rsidP="00255D79">
      <w:pPr>
        <w:pStyle w:val="Bezmezer"/>
        <w:spacing w:after="80"/>
        <w:jc w:val="both"/>
      </w:pPr>
      <w:r>
        <w:t>Účinnou</w:t>
      </w:r>
      <w:r w:rsidRPr="00D31B3C">
        <w:t xml:space="preserve"> </w:t>
      </w:r>
      <w:r w:rsidR="008A4043" w:rsidRPr="00D31B3C">
        <w:t>podporu</w:t>
      </w:r>
      <w:r w:rsidR="008A4043">
        <w:t xml:space="preserve"> a</w:t>
      </w:r>
      <w:r w:rsidR="000F25DC">
        <w:t> </w:t>
      </w:r>
      <w:r w:rsidR="008A4043">
        <w:t>zároveň podporu s</w:t>
      </w:r>
      <w:r w:rsidR="000F25DC">
        <w:t> </w:t>
      </w:r>
      <w:r w:rsidR="008A4043">
        <w:t xml:space="preserve">vysokým multiplikačním efektem </w:t>
      </w:r>
      <w:r w:rsidR="008A4043" w:rsidRPr="00D31B3C">
        <w:t>v</w:t>
      </w:r>
      <w:r w:rsidR="000F25DC">
        <w:t> </w:t>
      </w:r>
      <w:r w:rsidR="008A4043" w:rsidRPr="00D31B3C">
        <w:t xml:space="preserve">této situaci </w:t>
      </w:r>
      <w:r w:rsidR="008A4043">
        <w:t xml:space="preserve">představuje </w:t>
      </w:r>
      <w:r w:rsidR="008A4043" w:rsidRPr="00D31B3C">
        <w:t>pos</w:t>
      </w:r>
      <w:r w:rsidR="00222A2F">
        <w:t>i</w:t>
      </w:r>
      <w:r w:rsidR="008A4043" w:rsidRPr="00D31B3C">
        <w:t>l</w:t>
      </w:r>
      <w:r w:rsidR="00222A2F">
        <w:t>ování</w:t>
      </w:r>
      <w:r w:rsidR="008A4043" w:rsidRPr="00D31B3C">
        <w:t xml:space="preserve"> </w:t>
      </w:r>
      <w:r w:rsidR="00222A2F">
        <w:t xml:space="preserve">kapacity </w:t>
      </w:r>
      <w:r w:rsidR="008A4043" w:rsidRPr="00D31B3C">
        <w:t>služeb a</w:t>
      </w:r>
      <w:r w:rsidR="000F25DC">
        <w:t> </w:t>
      </w:r>
      <w:r w:rsidR="008A4043" w:rsidRPr="00D31B3C">
        <w:t xml:space="preserve">nástrojů zaměřených </w:t>
      </w:r>
      <w:r w:rsidR="008A4043">
        <w:t>v</w:t>
      </w:r>
      <w:r w:rsidR="000F25DC">
        <w:t> </w:t>
      </w:r>
      <w:r w:rsidR="008A4043">
        <w:t>souladu s</w:t>
      </w:r>
      <w:r w:rsidR="000F25DC">
        <w:t> </w:t>
      </w:r>
      <w:r w:rsidR="008A4043">
        <w:t xml:space="preserve">Exportní strategií </w:t>
      </w:r>
      <w:r w:rsidR="008A4043" w:rsidRPr="00D31B3C">
        <w:t xml:space="preserve">na </w:t>
      </w:r>
      <w:r w:rsidR="00222A2F">
        <w:t xml:space="preserve">export a další internacionalizaci inovačně zaměřených </w:t>
      </w:r>
      <w:r w:rsidR="008A4043" w:rsidRPr="00D31B3C">
        <w:t>českých společností</w:t>
      </w:r>
      <w:r w:rsidR="00222A2F">
        <w:t xml:space="preserve"> na zahraničních trzích. </w:t>
      </w:r>
      <w:r w:rsidR="008A4043" w:rsidRPr="00D31B3C">
        <w:t xml:space="preserve"> </w:t>
      </w:r>
      <w:r>
        <w:t xml:space="preserve">Klíčové v tomto směru je kontinuální sektorově zaměřené působení v teritoriích využívající různé proexportní </w:t>
      </w:r>
      <w:r w:rsidR="00533A08">
        <w:t>služb</w:t>
      </w:r>
      <w:r>
        <w:t>y</w:t>
      </w:r>
      <w:r w:rsidR="00533A08">
        <w:t xml:space="preserve"> a</w:t>
      </w:r>
      <w:r w:rsidR="000F25DC">
        <w:t> </w:t>
      </w:r>
      <w:r w:rsidR="00533A08">
        <w:t>nástroj</w:t>
      </w:r>
      <w:r>
        <w:t>e</w:t>
      </w:r>
      <w:r w:rsidR="0016059B">
        <w:t xml:space="preserve"> </w:t>
      </w:r>
      <w:r>
        <w:t xml:space="preserve">přizpůsobené konkrétním sektorům/doménám a teritoriím. Vytváření </w:t>
      </w:r>
      <w:r w:rsidR="0075468B" w:rsidRPr="0075468B">
        <w:t xml:space="preserve">střednědobých plánů pro </w:t>
      </w:r>
      <w:r>
        <w:t xml:space="preserve">takové </w:t>
      </w:r>
      <w:r w:rsidR="0075468B" w:rsidRPr="0075468B">
        <w:t xml:space="preserve">působení </w:t>
      </w:r>
      <w:r w:rsidR="001D61A3">
        <w:t xml:space="preserve">však vyžaduje </w:t>
      </w:r>
      <w:r w:rsidR="001060EC">
        <w:t xml:space="preserve">předvídatelnost a </w:t>
      </w:r>
      <w:r w:rsidR="001D61A3">
        <w:t>adekvátní</w:t>
      </w:r>
      <w:r>
        <w:t xml:space="preserve"> a trvalé</w:t>
      </w:r>
      <w:r w:rsidR="001D61A3">
        <w:t xml:space="preserve"> </w:t>
      </w:r>
      <w:r w:rsidR="00F15F0B">
        <w:t xml:space="preserve">zajištění rozpočtových prostředků </w:t>
      </w:r>
      <w:r>
        <w:t>investovaných do systému</w:t>
      </w:r>
      <w:r w:rsidR="00F15F0B">
        <w:t xml:space="preserve"> </w:t>
      </w:r>
      <w:r w:rsidR="001B2DC2">
        <w:t xml:space="preserve">státní </w:t>
      </w:r>
      <w:r w:rsidR="00F15F0B">
        <w:t xml:space="preserve">podpory exportu. </w:t>
      </w:r>
      <w:r w:rsidR="001060EC">
        <w:t xml:space="preserve">Součástí průběžného vyhodnocování </w:t>
      </w:r>
      <w:r w:rsidR="007975FE">
        <w:t xml:space="preserve">podpory exportu </w:t>
      </w:r>
      <w:r w:rsidR="001060EC">
        <w:t>by tak měla být také reflexe toho, jak prostředky na podporu exportu, které mají vysokou míru návratnosti, zajistit</w:t>
      </w:r>
      <w:r w:rsidR="007975FE">
        <w:t xml:space="preserve"> – takový návrh bude součástí samostatného materiálu předloženého vládě v druhé polovině roku 2024</w:t>
      </w:r>
      <w:r w:rsidR="001060EC">
        <w:t xml:space="preserve">. </w:t>
      </w:r>
    </w:p>
    <w:p w14:paraId="758CC067" w14:textId="32105DAA" w:rsidR="00390290" w:rsidRDefault="00390290" w:rsidP="00255D79">
      <w:pPr>
        <w:pStyle w:val="Bezmezer"/>
        <w:spacing w:after="80"/>
        <w:jc w:val="both"/>
      </w:pPr>
    </w:p>
    <w:p w14:paraId="38E603B9" w14:textId="6B299630" w:rsidR="00F15F0B" w:rsidRDefault="00F15F0B" w:rsidP="00255D79">
      <w:pPr>
        <w:pStyle w:val="Bezmezer"/>
        <w:spacing w:after="80"/>
        <w:jc w:val="both"/>
      </w:pPr>
    </w:p>
    <w:p w14:paraId="3573A24E" w14:textId="30264F59" w:rsidR="00F15F0B" w:rsidRDefault="00F15F0B" w:rsidP="00255D79">
      <w:pPr>
        <w:pStyle w:val="Bezmezer"/>
        <w:spacing w:after="80"/>
        <w:jc w:val="both"/>
      </w:pPr>
    </w:p>
    <w:p w14:paraId="48BEC7F9" w14:textId="77777777" w:rsidR="00F15F0B" w:rsidRDefault="00F15F0B" w:rsidP="00255D79">
      <w:pPr>
        <w:pStyle w:val="Bezmezer"/>
        <w:spacing w:after="80"/>
        <w:jc w:val="both"/>
      </w:pPr>
    </w:p>
    <w:p w14:paraId="1BDB9520" w14:textId="61372B76" w:rsidR="008A4043" w:rsidRDefault="008A4043" w:rsidP="008A4043"/>
    <w:p w14:paraId="1C8B406F" w14:textId="2533B1C0" w:rsidR="008A4043" w:rsidRDefault="008A4043" w:rsidP="008A4043"/>
    <w:p w14:paraId="4B36DAE8" w14:textId="51E201FA" w:rsidR="00333AAA" w:rsidRDefault="00333AAA">
      <w:pPr>
        <w:spacing w:after="200" w:line="276" w:lineRule="auto"/>
      </w:pPr>
      <w:r>
        <w:br w:type="page"/>
      </w:r>
    </w:p>
    <w:sdt>
      <w:sdtPr>
        <w:rPr>
          <w:rFonts w:asciiTheme="minorHAnsi" w:hAnsiTheme="minorHAnsi"/>
          <w:b w:val="0"/>
          <w:color w:val="000000" w:themeColor="text1"/>
          <w:sz w:val="22"/>
        </w:rPr>
        <w:id w:val="-362677420"/>
        <w:docPartObj>
          <w:docPartGallery w:val="Table of Contents"/>
          <w:docPartUnique/>
        </w:docPartObj>
      </w:sdtPr>
      <w:sdtEndPr>
        <w:rPr>
          <w:bCs/>
        </w:rPr>
      </w:sdtEndPr>
      <w:sdtContent>
        <w:p w14:paraId="0551A97C" w14:textId="79744B4C" w:rsidR="00131895" w:rsidRPr="00E32DC7" w:rsidRDefault="00131895">
          <w:pPr>
            <w:pStyle w:val="Nadpisobsahu"/>
          </w:pPr>
          <w:r w:rsidRPr="00E32DC7">
            <w:t>Obsah</w:t>
          </w:r>
        </w:p>
        <w:p w14:paraId="1CCB2D6F" w14:textId="30B3F663" w:rsidR="00214155" w:rsidRDefault="00131895">
          <w:pPr>
            <w:pStyle w:val="Obsah1"/>
            <w:tabs>
              <w:tab w:val="left" w:pos="440"/>
              <w:tab w:val="right" w:leader="dot" w:pos="9628"/>
            </w:tabs>
            <w:rPr>
              <w:rFonts w:eastAsiaTheme="minorEastAsia"/>
              <w:noProof/>
              <w:color w:val="auto"/>
              <w:lang w:eastAsia="cs-CZ"/>
            </w:rPr>
          </w:pPr>
          <w:r w:rsidRPr="00E32DC7">
            <w:fldChar w:fldCharType="begin"/>
          </w:r>
          <w:r w:rsidRPr="00E32DC7">
            <w:instrText xml:space="preserve"> TOC \o "1-3" \h \z \u </w:instrText>
          </w:r>
          <w:r w:rsidRPr="00E32DC7">
            <w:fldChar w:fldCharType="separate"/>
          </w:r>
          <w:hyperlink w:anchor="_Toc169181851" w:history="1">
            <w:r w:rsidR="00214155" w:rsidRPr="0079695B">
              <w:rPr>
                <w:rStyle w:val="Hypertextovodkaz"/>
                <w:noProof/>
              </w:rPr>
              <w:t>1.</w:t>
            </w:r>
            <w:r w:rsidR="00214155">
              <w:rPr>
                <w:rFonts w:eastAsiaTheme="minorEastAsia"/>
                <w:noProof/>
                <w:color w:val="auto"/>
                <w:lang w:eastAsia="cs-CZ"/>
              </w:rPr>
              <w:tab/>
            </w:r>
            <w:r w:rsidR="00214155" w:rsidRPr="0079695B">
              <w:rPr>
                <w:rStyle w:val="Hypertextovodkaz"/>
                <w:noProof/>
              </w:rPr>
              <w:t>Úvod</w:t>
            </w:r>
            <w:r w:rsidR="00214155">
              <w:rPr>
                <w:noProof/>
                <w:webHidden/>
              </w:rPr>
              <w:tab/>
            </w:r>
            <w:r w:rsidR="00214155">
              <w:rPr>
                <w:noProof/>
                <w:webHidden/>
              </w:rPr>
              <w:fldChar w:fldCharType="begin"/>
            </w:r>
            <w:r w:rsidR="00214155">
              <w:rPr>
                <w:noProof/>
                <w:webHidden/>
              </w:rPr>
              <w:instrText xml:space="preserve"> PAGEREF _Toc169181851 \h </w:instrText>
            </w:r>
            <w:r w:rsidR="00214155">
              <w:rPr>
                <w:noProof/>
                <w:webHidden/>
              </w:rPr>
            </w:r>
            <w:r w:rsidR="00214155">
              <w:rPr>
                <w:noProof/>
                <w:webHidden/>
              </w:rPr>
              <w:fldChar w:fldCharType="separate"/>
            </w:r>
            <w:r w:rsidR="00214155">
              <w:rPr>
                <w:noProof/>
                <w:webHidden/>
              </w:rPr>
              <w:t>4</w:t>
            </w:r>
            <w:r w:rsidR="00214155">
              <w:rPr>
                <w:noProof/>
                <w:webHidden/>
              </w:rPr>
              <w:fldChar w:fldCharType="end"/>
            </w:r>
          </w:hyperlink>
        </w:p>
        <w:p w14:paraId="399ACD5F" w14:textId="19F0D197" w:rsidR="00214155" w:rsidRDefault="00E70A5F">
          <w:pPr>
            <w:pStyle w:val="Obsah1"/>
            <w:tabs>
              <w:tab w:val="left" w:pos="440"/>
              <w:tab w:val="right" w:leader="dot" w:pos="9628"/>
            </w:tabs>
            <w:rPr>
              <w:rFonts w:eastAsiaTheme="minorEastAsia"/>
              <w:noProof/>
              <w:color w:val="auto"/>
              <w:lang w:eastAsia="cs-CZ"/>
            </w:rPr>
          </w:pPr>
          <w:hyperlink w:anchor="_Toc169181852" w:history="1">
            <w:r w:rsidR="00214155" w:rsidRPr="0079695B">
              <w:rPr>
                <w:rStyle w:val="Hypertextovodkaz"/>
                <w:noProof/>
              </w:rPr>
              <w:t>2.</w:t>
            </w:r>
            <w:r w:rsidR="00214155">
              <w:rPr>
                <w:rFonts w:eastAsiaTheme="minorEastAsia"/>
                <w:noProof/>
                <w:color w:val="auto"/>
                <w:lang w:eastAsia="cs-CZ"/>
              </w:rPr>
              <w:tab/>
            </w:r>
            <w:r w:rsidR="00214155" w:rsidRPr="0079695B">
              <w:rPr>
                <w:rStyle w:val="Hypertextovodkaz"/>
                <w:noProof/>
              </w:rPr>
              <w:t>Řídící mechanismus plnění Exportní strategie</w:t>
            </w:r>
            <w:r w:rsidR="00214155">
              <w:rPr>
                <w:noProof/>
                <w:webHidden/>
              </w:rPr>
              <w:tab/>
            </w:r>
            <w:r w:rsidR="00214155">
              <w:rPr>
                <w:noProof/>
                <w:webHidden/>
              </w:rPr>
              <w:fldChar w:fldCharType="begin"/>
            </w:r>
            <w:r w:rsidR="00214155">
              <w:rPr>
                <w:noProof/>
                <w:webHidden/>
              </w:rPr>
              <w:instrText xml:space="preserve"> PAGEREF _Toc169181852 \h </w:instrText>
            </w:r>
            <w:r w:rsidR="00214155">
              <w:rPr>
                <w:noProof/>
                <w:webHidden/>
              </w:rPr>
            </w:r>
            <w:r w:rsidR="00214155">
              <w:rPr>
                <w:noProof/>
                <w:webHidden/>
              </w:rPr>
              <w:fldChar w:fldCharType="separate"/>
            </w:r>
            <w:r w:rsidR="00214155">
              <w:rPr>
                <w:noProof/>
                <w:webHidden/>
              </w:rPr>
              <w:t>4</w:t>
            </w:r>
            <w:r w:rsidR="00214155">
              <w:rPr>
                <w:noProof/>
                <w:webHidden/>
              </w:rPr>
              <w:fldChar w:fldCharType="end"/>
            </w:r>
          </w:hyperlink>
        </w:p>
        <w:p w14:paraId="02C58B62" w14:textId="07E559F8" w:rsidR="00214155" w:rsidRDefault="00E70A5F">
          <w:pPr>
            <w:pStyle w:val="Obsah1"/>
            <w:tabs>
              <w:tab w:val="left" w:pos="440"/>
              <w:tab w:val="right" w:leader="dot" w:pos="9628"/>
            </w:tabs>
            <w:rPr>
              <w:rFonts w:eastAsiaTheme="minorEastAsia"/>
              <w:noProof/>
              <w:color w:val="auto"/>
              <w:lang w:eastAsia="cs-CZ"/>
            </w:rPr>
          </w:pPr>
          <w:hyperlink w:anchor="_Toc169181853" w:history="1">
            <w:r w:rsidR="00214155" w:rsidRPr="0079695B">
              <w:rPr>
                <w:rStyle w:val="Hypertextovodkaz"/>
                <w:noProof/>
              </w:rPr>
              <w:t>3.</w:t>
            </w:r>
            <w:r w:rsidR="00214155">
              <w:rPr>
                <w:rFonts w:eastAsiaTheme="minorEastAsia"/>
                <w:noProof/>
                <w:color w:val="auto"/>
                <w:lang w:eastAsia="cs-CZ"/>
              </w:rPr>
              <w:tab/>
            </w:r>
            <w:r w:rsidR="00214155" w:rsidRPr="0079695B">
              <w:rPr>
                <w:rStyle w:val="Hypertextovodkaz"/>
                <w:noProof/>
              </w:rPr>
              <w:t>Plnění prioritních opatření Exportní strategie</w:t>
            </w:r>
            <w:r w:rsidR="00214155">
              <w:rPr>
                <w:noProof/>
                <w:webHidden/>
              </w:rPr>
              <w:tab/>
            </w:r>
            <w:r w:rsidR="00214155">
              <w:rPr>
                <w:noProof/>
                <w:webHidden/>
              </w:rPr>
              <w:fldChar w:fldCharType="begin"/>
            </w:r>
            <w:r w:rsidR="00214155">
              <w:rPr>
                <w:noProof/>
                <w:webHidden/>
              </w:rPr>
              <w:instrText xml:space="preserve"> PAGEREF _Toc169181853 \h </w:instrText>
            </w:r>
            <w:r w:rsidR="00214155">
              <w:rPr>
                <w:noProof/>
                <w:webHidden/>
              </w:rPr>
            </w:r>
            <w:r w:rsidR="00214155">
              <w:rPr>
                <w:noProof/>
                <w:webHidden/>
              </w:rPr>
              <w:fldChar w:fldCharType="separate"/>
            </w:r>
            <w:r w:rsidR="00214155">
              <w:rPr>
                <w:noProof/>
                <w:webHidden/>
              </w:rPr>
              <w:t>4</w:t>
            </w:r>
            <w:r w:rsidR="00214155">
              <w:rPr>
                <w:noProof/>
                <w:webHidden/>
              </w:rPr>
              <w:fldChar w:fldCharType="end"/>
            </w:r>
          </w:hyperlink>
        </w:p>
        <w:p w14:paraId="6F80E838" w14:textId="48CCF3B0" w:rsidR="00214155" w:rsidRDefault="00E70A5F">
          <w:pPr>
            <w:pStyle w:val="Obsah2"/>
            <w:tabs>
              <w:tab w:val="right" w:leader="dot" w:pos="9628"/>
            </w:tabs>
            <w:rPr>
              <w:rFonts w:eastAsiaTheme="minorEastAsia"/>
              <w:noProof/>
              <w:color w:val="auto"/>
              <w:lang w:eastAsia="cs-CZ"/>
            </w:rPr>
          </w:pPr>
          <w:hyperlink w:anchor="_Toc169181860" w:history="1">
            <w:r w:rsidR="00214155" w:rsidRPr="0079695B">
              <w:rPr>
                <w:rStyle w:val="Hypertextovodkaz"/>
                <w:noProof/>
              </w:rPr>
              <w:t>3.1. Posílení koordinační platformy sdílené podpory podnikání</w:t>
            </w:r>
            <w:r w:rsidR="00214155">
              <w:rPr>
                <w:noProof/>
                <w:webHidden/>
              </w:rPr>
              <w:tab/>
            </w:r>
            <w:r w:rsidR="00214155">
              <w:rPr>
                <w:noProof/>
                <w:webHidden/>
              </w:rPr>
              <w:fldChar w:fldCharType="begin"/>
            </w:r>
            <w:r w:rsidR="00214155">
              <w:rPr>
                <w:noProof/>
                <w:webHidden/>
              </w:rPr>
              <w:instrText xml:space="preserve"> PAGEREF _Toc169181860 \h </w:instrText>
            </w:r>
            <w:r w:rsidR="00214155">
              <w:rPr>
                <w:noProof/>
                <w:webHidden/>
              </w:rPr>
            </w:r>
            <w:r w:rsidR="00214155">
              <w:rPr>
                <w:noProof/>
                <w:webHidden/>
              </w:rPr>
              <w:fldChar w:fldCharType="separate"/>
            </w:r>
            <w:r w:rsidR="00214155">
              <w:rPr>
                <w:noProof/>
                <w:webHidden/>
              </w:rPr>
              <w:t>4</w:t>
            </w:r>
            <w:r w:rsidR="00214155">
              <w:rPr>
                <w:noProof/>
                <w:webHidden/>
              </w:rPr>
              <w:fldChar w:fldCharType="end"/>
            </w:r>
          </w:hyperlink>
        </w:p>
        <w:p w14:paraId="3F59A056" w14:textId="1D3A2523" w:rsidR="00214155" w:rsidRDefault="00E70A5F">
          <w:pPr>
            <w:pStyle w:val="Obsah2"/>
            <w:tabs>
              <w:tab w:val="right" w:leader="dot" w:pos="9628"/>
            </w:tabs>
            <w:rPr>
              <w:rFonts w:eastAsiaTheme="minorEastAsia"/>
              <w:noProof/>
              <w:color w:val="auto"/>
              <w:lang w:eastAsia="cs-CZ"/>
            </w:rPr>
          </w:pPr>
          <w:hyperlink w:anchor="_Toc169181861" w:history="1">
            <w:r w:rsidR="00214155" w:rsidRPr="0079695B">
              <w:rPr>
                <w:rStyle w:val="Hypertextovodkaz"/>
                <w:noProof/>
              </w:rPr>
              <w:t>3.2. Rozvoj Jednotné zahraniční sítě</w:t>
            </w:r>
            <w:r w:rsidR="00214155">
              <w:rPr>
                <w:noProof/>
                <w:webHidden/>
              </w:rPr>
              <w:tab/>
            </w:r>
            <w:r w:rsidR="00214155">
              <w:rPr>
                <w:noProof/>
                <w:webHidden/>
              </w:rPr>
              <w:fldChar w:fldCharType="begin"/>
            </w:r>
            <w:r w:rsidR="00214155">
              <w:rPr>
                <w:noProof/>
                <w:webHidden/>
              </w:rPr>
              <w:instrText xml:space="preserve"> PAGEREF _Toc169181861 \h </w:instrText>
            </w:r>
            <w:r w:rsidR="00214155">
              <w:rPr>
                <w:noProof/>
                <w:webHidden/>
              </w:rPr>
            </w:r>
            <w:r w:rsidR="00214155">
              <w:rPr>
                <w:noProof/>
                <w:webHidden/>
              </w:rPr>
              <w:fldChar w:fldCharType="separate"/>
            </w:r>
            <w:r w:rsidR="00214155">
              <w:rPr>
                <w:noProof/>
                <w:webHidden/>
              </w:rPr>
              <w:t>4</w:t>
            </w:r>
            <w:r w:rsidR="00214155">
              <w:rPr>
                <w:noProof/>
                <w:webHidden/>
              </w:rPr>
              <w:fldChar w:fldCharType="end"/>
            </w:r>
          </w:hyperlink>
        </w:p>
        <w:p w14:paraId="6C68D4B0" w14:textId="313B2E10" w:rsidR="00214155" w:rsidRDefault="00E70A5F">
          <w:pPr>
            <w:pStyle w:val="Obsah2"/>
            <w:tabs>
              <w:tab w:val="right" w:leader="dot" w:pos="9628"/>
            </w:tabs>
            <w:rPr>
              <w:rFonts w:eastAsiaTheme="minorEastAsia"/>
              <w:noProof/>
              <w:color w:val="auto"/>
              <w:lang w:eastAsia="cs-CZ"/>
            </w:rPr>
          </w:pPr>
          <w:hyperlink w:anchor="_Toc169181862" w:history="1">
            <w:r w:rsidR="00214155" w:rsidRPr="0079695B">
              <w:rPr>
                <w:rStyle w:val="Hypertextovodkaz"/>
                <w:noProof/>
              </w:rPr>
              <w:t>3.3. Zatraktivňovat podmínky pro příchod kvalifikovaných zahraničních pracovníků</w:t>
            </w:r>
            <w:r w:rsidR="00214155">
              <w:rPr>
                <w:noProof/>
                <w:webHidden/>
              </w:rPr>
              <w:tab/>
            </w:r>
            <w:r w:rsidR="00214155">
              <w:rPr>
                <w:noProof/>
                <w:webHidden/>
              </w:rPr>
              <w:fldChar w:fldCharType="begin"/>
            </w:r>
            <w:r w:rsidR="00214155">
              <w:rPr>
                <w:noProof/>
                <w:webHidden/>
              </w:rPr>
              <w:instrText xml:space="preserve"> PAGEREF _Toc169181862 \h </w:instrText>
            </w:r>
            <w:r w:rsidR="00214155">
              <w:rPr>
                <w:noProof/>
                <w:webHidden/>
              </w:rPr>
            </w:r>
            <w:r w:rsidR="00214155">
              <w:rPr>
                <w:noProof/>
                <w:webHidden/>
              </w:rPr>
              <w:fldChar w:fldCharType="separate"/>
            </w:r>
            <w:r w:rsidR="00214155">
              <w:rPr>
                <w:noProof/>
                <w:webHidden/>
              </w:rPr>
              <w:t>4</w:t>
            </w:r>
            <w:r w:rsidR="00214155">
              <w:rPr>
                <w:noProof/>
                <w:webHidden/>
              </w:rPr>
              <w:fldChar w:fldCharType="end"/>
            </w:r>
          </w:hyperlink>
        </w:p>
        <w:p w14:paraId="0CB44ECA" w14:textId="559BD7F2" w:rsidR="00214155" w:rsidRDefault="00E70A5F">
          <w:pPr>
            <w:pStyle w:val="Obsah2"/>
            <w:tabs>
              <w:tab w:val="right" w:leader="dot" w:pos="9628"/>
            </w:tabs>
            <w:rPr>
              <w:rFonts w:eastAsiaTheme="minorEastAsia"/>
              <w:noProof/>
              <w:color w:val="auto"/>
              <w:lang w:eastAsia="cs-CZ"/>
            </w:rPr>
          </w:pPr>
          <w:hyperlink w:anchor="_Toc169181863" w:history="1">
            <w:r w:rsidR="00214155" w:rsidRPr="0079695B">
              <w:rPr>
                <w:rStyle w:val="Hypertextovodkaz"/>
                <w:noProof/>
              </w:rPr>
              <w:t>3.4. Informování o praktických nástrojích EU pro vnitřní trh a obchodní politiku</w:t>
            </w:r>
            <w:r w:rsidR="00214155">
              <w:rPr>
                <w:noProof/>
                <w:webHidden/>
              </w:rPr>
              <w:tab/>
            </w:r>
            <w:r w:rsidR="00214155">
              <w:rPr>
                <w:noProof/>
                <w:webHidden/>
              </w:rPr>
              <w:fldChar w:fldCharType="begin"/>
            </w:r>
            <w:r w:rsidR="00214155">
              <w:rPr>
                <w:noProof/>
                <w:webHidden/>
              </w:rPr>
              <w:instrText xml:space="preserve"> PAGEREF _Toc169181863 \h </w:instrText>
            </w:r>
            <w:r w:rsidR="00214155">
              <w:rPr>
                <w:noProof/>
                <w:webHidden/>
              </w:rPr>
            </w:r>
            <w:r w:rsidR="00214155">
              <w:rPr>
                <w:noProof/>
                <w:webHidden/>
              </w:rPr>
              <w:fldChar w:fldCharType="separate"/>
            </w:r>
            <w:r w:rsidR="00214155">
              <w:rPr>
                <w:noProof/>
                <w:webHidden/>
              </w:rPr>
              <w:t>5</w:t>
            </w:r>
            <w:r w:rsidR="00214155">
              <w:rPr>
                <w:noProof/>
                <w:webHidden/>
              </w:rPr>
              <w:fldChar w:fldCharType="end"/>
            </w:r>
          </w:hyperlink>
        </w:p>
        <w:p w14:paraId="7C3F4FC1" w14:textId="48F9D621" w:rsidR="00214155" w:rsidRDefault="00E70A5F">
          <w:pPr>
            <w:pStyle w:val="Obsah2"/>
            <w:tabs>
              <w:tab w:val="right" w:leader="dot" w:pos="9628"/>
            </w:tabs>
            <w:rPr>
              <w:rFonts w:eastAsiaTheme="minorEastAsia"/>
              <w:noProof/>
              <w:color w:val="auto"/>
              <w:lang w:eastAsia="cs-CZ"/>
            </w:rPr>
          </w:pPr>
          <w:hyperlink w:anchor="_Toc169181864" w:history="1">
            <w:r w:rsidR="00214155" w:rsidRPr="0079695B">
              <w:rPr>
                <w:rStyle w:val="Hypertextovodkaz"/>
                <w:noProof/>
              </w:rPr>
              <w:t>3.5. Prosazování pravidel digitálního obchodu do obchodních dohod EU</w:t>
            </w:r>
            <w:r w:rsidR="00214155">
              <w:rPr>
                <w:noProof/>
                <w:webHidden/>
              </w:rPr>
              <w:tab/>
            </w:r>
            <w:r w:rsidR="00214155">
              <w:rPr>
                <w:noProof/>
                <w:webHidden/>
              </w:rPr>
              <w:fldChar w:fldCharType="begin"/>
            </w:r>
            <w:r w:rsidR="00214155">
              <w:rPr>
                <w:noProof/>
                <w:webHidden/>
              </w:rPr>
              <w:instrText xml:space="preserve"> PAGEREF _Toc169181864 \h </w:instrText>
            </w:r>
            <w:r w:rsidR="00214155">
              <w:rPr>
                <w:noProof/>
                <w:webHidden/>
              </w:rPr>
            </w:r>
            <w:r w:rsidR="00214155">
              <w:rPr>
                <w:noProof/>
                <w:webHidden/>
              </w:rPr>
              <w:fldChar w:fldCharType="separate"/>
            </w:r>
            <w:r w:rsidR="00214155">
              <w:rPr>
                <w:noProof/>
                <w:webHidden/>
              </w:rPr>
              <w:t>5</w:t>
            </w:r>
            <w:r w:rsidR="00214155">
              <w:rPr>
                <w:noProof/>
                <w:webHidden/>
              </w:rPr>
              <w:fldChar w:fldCharType="end"/>
            </w:r>
          </w:hyperlink>
        </w:p>
        <w:p w14:paraId="23E39E0B" w14:textId="21038964" w:rsidR="00214155" w:rsidRDefault="00E70A5F">
          <w:pPr>
            <w:pStyle w:val="Obsah2"/>
            <w:tabs>
              <w:tab w:val="right" w:leader="dot" w:pos="9628"/>
            </w:tabs>
            <w:rPr>
              <w:rFonts w:eastAsiaTheme="minorEastAsia"/>
              <w:noProof/>
              <w:color w:val="auto"/>
              <w:lang w:eastAsia="cs-CZ"/>
            </w:rPr>
          </w:pPr>
          <w:hyperlink w:anchor="_Toc169181865" w:history="1">
            <w:r w:rsidR="00214155" w:rsidRPr="0079695B">
              <w:rPr>
                <w:rStyle w:val="Hypertextovodkaz"/>
                <w:noProof/>
              </w:rPr>
              <w:t>3.6. Dlouhodobé doménově zaměřené působení v teritoriích</w:t>
            </w:r>
            <w:r w:rsidR="00214155">
              <w:rPr>
                <w:noProof/>
                <w:webHidden/>
              </w:rPr>
              <w:tab/>
            </w:r>
            <w:r w:rsidR="00214155">
              <w:rPr>
                <w:noProof/>
                <w:webHidden/>
              </w:rPr>
              <w:fldChar w:fldCharType="begin"/>
            </w:r>
            <w:r w:rsidR="00214155">
              <w:rPr>
                <w:noProof/>
                <w:webHidden/>
              </w:rPr>
              <w:instrText xml:space="preserve"> PAGEREF _Toc169181865 \h </w:instrText>
            </w:r>
            <w:r w:rsidR="00214155">
              <w:rPr>
                <w:noProof/>
                <w:webHidden/>
              </w:rPr>
            </w:r>
            <w:r w:rsidR="00214155">
              <w:rPr>
                <w:noProof/>
                <w:webHidden/>
              </w:rPr>
              <w:fldChar w:fldCharType="separate"/>
            </w:r>
            <w:r w:rsidR="00214155">
              <w:rPr>
                <w:noProof/>
                <w:webHidden/>
              </w:rPr>
              <w:t>5</w:t>
            </w:r>
            <w:r w:rsidR="00214155">
              <w:rPr>
                <w:noProof/>
                <w:webHidden/>
              </w:rPr>
              <w:fldChar w:fldCharType="end"/>
            </w:r>
          </w:hyperlink>
        </w:p>
        <w:p w14:paraId="6E32DA72" w14:textId="6F430403" w:rsidR="00214155" w:rsidRDefault="00E70A5F">
          <w:pPr>
            <w:pStyle w:val="Obsah2"/>
            <w:tabs>
              <w:tab w:val="right" w:leader="dot" w:pos="9628"/>
            </w:tabs>
            <w:rPr>
              <w:rFonts w:eastAsiaTheme="minorEastAsia"/>
              <w:noProof/>
              <w:color w:val="auto"/>
              <w:lang w:eastAsia="cs-CZ"/>
            </w:rPr>
          </w:pPr>
          <w:hyperlink w:anchor="_Toc169181866" w:history="1">
            <w:r w:rsidR="00214155" w:rsidRPr="0079695B">
              <w:rPr>
                <w:rStyle w:val="Hypertextovodkaz"/>
                <w:noProof/>
              </w:rPr>
              <w:t>3.7. Podpora internacionalizace start-upů a MSP</w:t>
            </w:r>
            <w:r w:rsidR="00214155">
              <w:rPr>
                <w:noProof/>
                <w:webHidden/>
              </w:rPr>
              <w:tab/>
            </w:r>
            <w:r w:rsidR="00214155">
              <w:rPr>
                <w:noProof/>
                <w:webHidden/>
              </w:rPr>
              <w:fldChar w:fldCharType="begin"/>
            </w:r>
            <w:r w:rsidR="00214155">
              <w:rPr>
                <w:noProof/>
                <w:webHidden/>
              </w:rPr>
              <w:instrText xml:space="preserve"> PAGEREF _Toc169181866 \h </w:instrText>
            </w:r>
            <w:r w:rsidR="00214155">
              <w:rPr>
                <w:noProof/>
                <w:webHidden/>
              </w:rPr>
            </w:r>
            <w:r w:rsidR="00214155">
              <w:rPr>
                <w:noProof/>
                <w:webHidden/>
              </w:rPr>
              <w:fldChar w:fldCharType="separate"/>
            </w:r>
            <w:r w:rsidR="00214155">
              <w:rPr>
                <w:noProof/>
                <w:webHidden/>
              </w:rPr>
              <w:t>6</w:t>
            </w:r>
            <w:r w:rsidR="00214155">
              <w:rPr>
                <w:noProof/>
                <w:webHidden/>
              </w:rPr>
              <w:fldChar w:fldCharType="end"/>
            </w:r>
          </w:hyperlink>
        </w:p>
        <w:p w14:paraId="2FF32813" w14:textId="2DA1C8B8" w:rsidR="00214155" w:rsidRDefault="00E70A5F">
          <w:pPr>
            <w:pStyle w:val="Obsah2"/>
            <w:tabs>
              <w:tab w:val="right" w:leader="dot" w:pos="9628"/>
            </w:tabs>
            <w:rPr>
              <w:rFonts w:eastAsiaTheme="minorEastAsia"/>
              <w:noProof/>
              <w:color w:val="auto"/>
              <w:lang w:eastAsia="cs-CZ"/>
            </w:rPr>
          </w:pPr>
          <w:hyperlink w:anchor="_Toc169181867" w:history="1">
            <w:r w:rsidR="00214155" w:rsidRPr="0079695B">
              <w:rPr>
                <w:rStyle w:val="Hypertextovodkaz"/>
                <w:noProof/>
              </w:rPr>
              <w:t>3.8. Nástroje umožňující realizaci komerčních návazností rozvojových projektů</w:t>
            </w:r>
            <w:r w:rsidR="00214155">
              <w:rPr>
                <w:noProof/>
                <w:webHidden/>
              </w:rPr>
              <w:tab/>
            </w:r>
            <w:r w:rsidR="00214155">
              <w:rPr>
                <w:noProof/>
                <w:webHidden/>
              </w:rPr>
              <w:fldChar w:fldCharType="begin"/>
            </w:r>
            <w:r w:rsidR="00214155">
              <w:rPr>
                <w:noProof/>
                <w:webHidden/>
              </w:rPr>
              <w:instrText xml:space="preserve"> PAGEREF _Toc169181867 \h </w:instrText>
            </w:r>
            <w:r w:rsidR="00214155">
              <w:rPr>
                <w:noProof/>
                <w:webHidden/>
              </w:rPr>
            </w:r>
            <w:r w:rsidR="00214155">
              <w:rPr>
                <w:noProof/>
                <w:webHidden/>
              </w:rPr>
              <w:fldChar w:fldCharType="separate"/>
            </w:r>
            <w:r w:rsidR="00214155">
              <w:rPr>
                <w:noProof/>
                <w:webHidden/>
              </w:rPr>
              <w:t>6</w:t>
            </w:r>
            <w:r w:rsidR="00214155">
              <w:rPr>
                <w:noProof/>
                <w:webHidden/>
              </w:rPr>
              <w:fldChar w:fldCharType="end"/>
            </w:r>
          </w:hyperlink>
        </w:p>
        <w:p w14:paraId="1E5520AB" w14:textId="24C943D7" w:rsidR="00214155" w:rsidRDefault="00E70A5F">
          <w:pPr>
            <w:pStyle w:val="Obsah2"/>
            <w:tabs>
              <w:tab w:val="right" w:leader="dot" w:pos="9628"/>
            </w:tabs>
            <w:rPr>
              <w:rFonts w:eastAsiaTheme="minorEastAsia"/>
              <w:noProof/>
              <w:color w:val="auto"/>
              <w:lang w:eastAsia="cs-CZ"/>
            </w:rPr>
          </w:pPr>
          <w:hyperlink w:anchor="_Toc169181868" w:history="1">
            <w:r w:rsidR="00214155" w:rsidRPr="0079695B">
              <w:rPr>
                <w:rStyle w:val="Hypertextovodkaz"/>
                <w:noProof/>
              </w:rPr>
              <w:t>3.9. Nové služby zaměřené na trvalé působení v zahraničí</w:t>
            </w:r>
            <w:r w:rsidR="00214155">
              <w:rPr>
                <w:noProof/>
                <w:webHidden/>
              </w:rPr>
              <w:tab/>
            </w:r>
            <w:r w:rsidR="00214155">
              <w:rPr>
                <w:noProof/>
                <w:webHidden/>
              </w:rPr>
              <w:fldChar w:fldCharType="begin"/>
            </w:r>
            <w:r w:rsidR="00214155">
              <w:rPr>
                <w:noProof/>
                <w:webHidden/>
              </w:rPr>
              <w:instrText xml:space="preserve"> PAGEREF _Toc169181868 \h </w:instrText>
            </w:r>
            <w:r w:rsidR="00214155">
              <w:rPr>
                <w:noProof/>
                <w:webHidden/>
              </w:rPr>
            </w:r>
            <w:r w:rsidR="00214155">
              <w:rPr>
                <w:noProof/>
                <w:webHidden/>
              </w:rPr>
              <w:fldChar w:fldCharType="separate"/>
            </w:r>
            <w:r w:rsidR="00214155">
              <w:rPr>
                <w:noProof/>
                <w:webHidden/>
              </w:rPr>
              <w:t>7</w:t>
            </w:r>
            <w:r w:rsidR="00214155">
              <w:rPr>
                <w:noProof/>
                <w:webHidden/>
              </w:rPr>
              <w:fldChar w:fldCharType="end"/>
            </w:r>
          </w:hyperlink>
        </w:p>
        <w:p w14:paraId="42D309B3" w14:textId="2B18DF25" w:rsidR="00214155" w:rsidRDefault="00E70A5F">
          <w:pPr>
            <w:pStyle w:val="Obsah2"/>
            <w:tabs>
              <w:tab w:val="right" w:leader="dot" w:pos="9628"/>
            </w:tabs>
            <w:rPr>
              <w:rFonts w:eastAsiaTheme="minorEastAsia"/>
              <w:noProof/>
              <w:color w:val="auto"/>
              <w:lang w:eastAsia="cs-CZ"/>
            </w:rPr>
          </w:pPr>
          <w:hyperlink w:anchor="_Toc169181869" w:history="1">
            <w:r w:rsidR="00214155" w:rsidRPr="0079695B">
              <w:rPr>
                <w:rStyle w:val="Hypertextovodkaz"/>
                <w:noProof/>
              </w:rPr>
              <w:t>3.10. Rozvoj podpory účastí českých firem na zahraničních výstavách a veletrzích</w:t>
            </w:r>
            <w:r w:rsidR="00214155">
              <w:rPr>
                <w:noProof/>
                <w:webHidden/>
              </w:rPr>
              <w:tab/>
            </w:r>
            <w:r w:rsidR="00214155">
              <w:rPr>
                <w:noProof/>
                <w:webHidden/>
              </w:rPr>
              <w:fldChar w:fldCharType="begin"/>
            </w:r>
            <w:r w:rsidR="00214155">
              <w:rPr>
                <w:noProof/>
                <w:webHidden/>
              </w:rPr>
              <w:instrText xml:space="preserve"> PAGEREF _Toc169181869 \h </w:instrText>
            </w:r>
            <w:r w:rsidR="00214155">
              <w:rPr>
                <w:noProof/>
                <w:webHidden/>
              </w:rPr>
            </w:r>
            <w:r w:rsidR="00214155">
              <w:rPr>
                <w:noProof/>
                <w:webHidden/>
              </w:rPr>
              <w:fldChar w:fldCharType="separate"/>
            </w:r>
            <w:r w:rsidR="00214155">
              <w:rPr>
                <w:noProof/>
                <w:webHidden/>
              </w:rPr>
              <w:t>7</w:t>
            </w:r>
            <w:r w:rsidR="00214155">
              <w:rPr>
                <w:noProof/>
                <w:webHidden/>
              </w:rPr>
              <w:fldChar w:fldCharType="end"/>
            </w:r>
          </w:hyperlink>
        </w:p>
        <w:p w14:paraId="3528001B" w14:textId="76387866" w:rsidR="00214155" w:rsidRDefault="00E70A5F">
          <w:pPr>
            <w:pStyle w:val="Obsah2"/>
            <w:tabs>
              <w:tab w:val="right" w:leader="dot" w:pos="9628"/>
            </w:tabs>
            <w:rPr>
              <w:rFonts w:eastAsiaTheme="minorEastAsia"/>
              <w:noProof/>
              <w:color w:val="auto"/>
              <w:lang w:eastAsia="cs-CZ"/>
            </w:rPr>
          </w:pPr>
          <w:hyperlink w:anchor="_Toc169181870" w:history="1">
            <w:r w:rsidR="00214155" w:rsidRPr="0079695B">
              <w:rPr>
                <w:rStyle w:val="Hypertextovodkaz"/>
                <w:noProof/>
              </w:rPr>
              <w:t>3.11. Branding ČR a jednotný vizuální styl státních institucí</w:t>
            </w:r>
            <w:r w:rsidR="00214155">
              <w:rPr>
                <w:noProof/>
                <w:webHidden/>
              </w:rPr>
              <w:tab/>
            </w:r>
            <w:r w:rsidR="00214155">
              <w:rPr>
                <w:noProof/>
                <w:webHidden/>
              </w:rPr>
              <w:fldChar w:fldCharType="begin"/>
            </w:r>
            <w:r w:rsidR="00214155">
              <w:rPr>
                <w:noProof/>
                <w:webHidden/>
              </w:rPr>
              <w:instrText xml:space="preserve"> PAGEREF _Toc169181870 \h </w:instrText>
            </w:r>
            <w:r w:rsidR="00214155">
              <w:rPr>
                <w:noProof/>
                <w:webHidden/>
              </w:rPr>
            </w:r>
            <w:r w:rsidR="00214155">
              <w:rPr>
                <w:noProof/>
                <w:webHidden/>
              </w:rPr>
              <w:fldChar w:fldCharType="separate"/>
            </w:r>
            <w:r w:rsidR="00214155">
              <w:rPr>
                <w:noProof/>
                <w:webHidden/>
              </w:rPr>
              <w:t>8</w:t>
            </w:r>
            <w:r w:rsidR="00214155">
              <w:rPr>
                <w:noProof/>
                <w:webHidden/>
              </w:rPr>
              <w:fldChar w:fldCharType="end"/>
            </w:r>
          </w:hyperlink>
        </w:p>
        <w:p w14:paraId="5A98CABF" w14:textId="732CF393" w:rsidR="00214155" w:rsidRDefault="00E70A5F">
          <w:pPr>
            <w:pStyle w:val="Obsah2"/>
            <w:tabs>
              <w:tab w:val="right" w:leader="dot" w:pos="9628"/>
            </w:tabs>
            <w:rPr>
              <w:rFonts w:eastAsiaTheme="minorEastAsia"/>
              <w:noProof/>
              <w:color w:val="auto"/>
              <w:lang w:eastAsia="cs-CZ"/>
            </w:rPr>
          </w:pPr>
          <w:hyperlink w:anchor="_Toc169181871" w:history="1">
            <w:r w:rsidR="00214155" w:rsidRPr="0079695B">
              <w:rPr>
                <w:rStyle w:val="Hypertextovodkaz"/>
                <w:noProof/>
              </w:rPr>
              <w:t>3.12. Analýza a optimalizace institucionálního uspořádání exportního financování</w:t>
            </w:r>
            <w:r w:rsidR="00214155">
              <w:rPr>
                <w:noProof/>
                <w:webHidden/>
              </w:rPr>
              <w:tab/>
            </w:r>
            <w:r w:rsidR="00214155">
              <w:rPr>
                <w:noProof/>
                <w:webHidden/>
              </w:rPr>
              <w:fldChar w:fldCharType="begin"/>
            </w:r>
            <w:r w:rsidR="00214155">
              <w:rPr>
                <w:noProof/>
                <w:webHidden/>
              </w:rPr>
              <w:instrText xml:space="preserve"> PAGEREF _Toc169181871 \h </w:instrText>
            </w:r>
            <w:r w:rsidR="00214155">
              <w:rPr>
                <w:noProof/>
                <w:webHidden/>
              </w:rPr>
            </w:r>
            <w:r w:rsidR="00214155">
              <w:rPr>
                <w:noProof/>
                <w:webHidden/>
              </w:rPr>
              <w:fldChar w:fldCharType="separate"/>
            </w:r>
            <w:r w:rsidR="00214155">
              <w:rPr>
                <w:noProof/>
                <w:webHidden/>
              </w:rPr>
              <w:t>8</w:t>
            </w:r>
            <w:r w:rsidR="00214155">
              <w:rPr>
                <w:noProof/>
                <w:webHidden/>
              </w:rPr>
              <w:fldChar w:fldCharType="end"/>
            </w:r>
          </w:hyperlink>
        </w:p>
        <w:p w14:paraId="32A6F168" w14:textId="77FDDC3A" w:rsidR="00214155" w:rsidRDefault="00E70A5F">
          <w:pPr>
            <w:pStyle w:val="Obsah2"/>
            <w:tabs>
              <w:tab w:val="right" w:leader="dot" w:pos="9628"/>
            </w:tabs>
            <w:rPr>
              <w:rFonts w:eastAsiaTheme="minorEastAsia"/>
              <w:noProof/>
              <w:color w:val="auto"/>
              <w:lang w:eastAsia="cs-CZ"/>
            </w:rPr>
          </w:pPr>
          <w:hyperlink w:anchor="_Toc169181872" w:history="1">
            <w:r w:rsidR="00214155" w:rsidRPr="0079695B">
              <w:rPr>
                <w:rStyle w:val="Hypertextovodkaz"/>
                <w:noProof/>
              </w:rPr>
              <w:t>3.13. Revize produktového portfolia exportního financování a pojišťování</w:t>
            </w:r>
            <w:r w:rsidR="00214155">
              <w:rPr>
                <w:noProof/>
                <w:webHidden/>
              </w:rPr>
              <w:tab/>
            </w:r>
            <w:r w:rsidR="00214155">
              <w:rPr>
                <w:noProof/>
                <w:webHidden/>
              </w:rPr>
              <w:fldChar w:fldCharType="begin"/>
            </w:r>
            <w:r w:rsidR="00214155">
              <w:rPr>
                <w:noProof/>
                <w:webHidden/>
              </w:rPr>
              <w:instrText xml:space="preserve"> PAGEREF _Toc169181872 \h </w:instrText>
            </w:r>
            <w:r w:rsidR="00214155">
              <w:rPr>
                <w:noProof/>
                <w:webHidden/>
              </w:rPr>
            </w:r>
            <w:r w:rsidR="00214155">
              <w:rPr>
                <w:noProof/>
                <w:webHidden/>
              </w:rPr>
              <w:fldChar w:fldCharType="separate"/>
            </w:r>
            <w:r w:rsidR="00214155">
              <w:rPr>
                <w:noProof/>
                <w:webHidden/>
              </w:rPr>
              <w:t>8</w:t>
            </w:r>
            <w:r w:rsidR="00214155">
              <w:rPr>
                <w:noProof/>
                <w:webHidden/>
              </w:rPr>
              <w:fldChar w:fldCharType="end"/>
            </w:r>
          </w:hyperlink>
        </w:p>
        <w:p w14:paraId="4987EB76" w14:textId="4FC0A145" w:rsidR="00214155" w:rsidRDefault="00E70A5F">
          <w:pPr>
            <w:pStyle w:val="Obsah2"/>
            <w:tabs>
              <w:tab w:val="right" w:leader="dot" w:pos="9628"/>
            </w:tabs>
            <w:rPr>
              <w:rFonts w:eastAsiaTheme="minorEastAsia"/>
              <w:noProof/>
              <w:color w:val="auto"/>
              <w:lang w:eastAsia="cs-CZ"/>
            </w:rPr>
          </w:pPr>
          <w:hyperlink w:anchor="_Toc169181873" w:history="1">
            <w:r w:rsidR="00214155" w:rsidRPr="0079695B">
              <w:rPr>
                <w:rStyle w:val="Hypertextovodkaz"/>
                <w:noProof/>
              </w:rPr>
              <w:t>3.14. Prohloubení a institucionalizace spolupráce s NRB</w:t>
            </w:r>
            <w:r w:rsidR="00214155">
              <w:rPr>
                <w:noProof/>
                <w:webHidden/>
              </w:rPr>
              <w:tab/>
            </w:r>
            <w:r w:rsidR="00214155">
              <w:rPr>
                <w:noProof/>
                <w:webHidden/>
              </w:rPr>
              <w:fldChar w:fldCharType="begin"/>
            </w:r>
            <w:r w:rsidR="00214155">
              <w:rPr>
                <w:noProof/>
                <w:webHidden/>
              </w:rPr>
              <w:instrText xml:space="preserve"> PAGEREF _Toc169181873 \h </w:instrText>
            </w:r>
            <w:r w:rsidR="00214155">
              <w:rPr>
                <w:noProof/>
                <w:webHidden/>
              </w:rPr>
            </w:r>
            <w:r w:rsidR="00214155">
              <w:rPr>
                <w:noProof/>
                <w:webHidden/>
              </w:rPr>
              <w:fldChar w:fldCharType="separate"/>
            </w:r>
            <w:r w:rsidR="00214155">
              <w:rPr>
                <w:noProof/>
                <w:webHidden/>
              </w:rPr>
              <w:t>9</w:t>
            </w:r>
            <w:r w:rsidR="00214155">
              <w:rPr>
                <w:noProof/>
                <w:webHidden/>
              </w:rPr>
              <w:fldChar w:fldCharType="end"/>
            </w:r>
          </w:hyperlink>
        </w:p>
        <w:p w14:paraId="7E60EF0C" w14:textId="1A432FEF" w:rsidR="00214155" w:rsidRDefault="00E70A5F">
          <w:pPr>
            <w:pStyle w:val="Obsah1"/>
            <w:tabs>
              <w:tab w:val="left" w:pos="440"/>
              <w:tab w:val="right" w:leader="dot" w:pos="9628"/>
            </w:tabs>
            <w:rPr>
              <w:rFonts w:eastAsiaTheme="minorEastAsia"/>
              <w:noProof/>
              <w:color w:val="auto"/>
              <w:lang w:eastAsia="cs-CZ"/>
            </w:rPr>
          </w:pPr>
          <w:hyperlink w:anchor="_Toc169181874" w:history="1">
            <w:r w:rsidR="00214155" w:rsidRPr="0079695B">
              <w:rPr>
                <w:rStyle w:val="Hypertextovodkaz"/>
                <w:noProof/>
              </w:rPr>
              <w:t>4.</w:t>
            </w:r>
            <w:r w:rsidR="00214155">
              <w:rPr>
                <w:rFonts w:eastAsiaTheme="minorEastAsia"/>
                <w:noProof/>
                <w:color w:val="auto"/>
                <w:lang w:eastAsia="cs-CZ"/>
              </w:rPr>
              <w:tab/>
            </w:r>
            <w:r w:rsidR="00214155" w:rsidRPr="0079695B">
              <w:rPr>
                <w:rStyle w:val="Hypertextovodkaz"/>
                <w:noProof/>
              </w:rPr>
              <w:t>Vybrané indikátory Exportní strategie</w:t>
            </w:r>
            <w:r w:rsidR="00214155">
              <w:rPr>
                <w:noProof/>
                <w:webHidden/>
              </w:rPr>
              <w:tab/>
            </w:r>
            <w:r w:rsidR="00214155">
              <w:rPr>
                <w:noProof/>
                <w:webHidden/>
              </w:rPr>
              <w:fldChar w:fldCharType="begin"/>
            </w:r>
            <w:r w:rsidR="00214155">
              <w:rPr>
                <w:noProof/>
                <w:webHidden/>
              </w:rPr>
              <w:instrText xml:space="preserve"> PAGEREF _Toc169181874 \h </w:instrText>
            </w:r>
            <w:r w:rsidR="00214155">
              <w:rPr>
                <w:noProof/>
                <w:webHidden/>
              </w:rPr>
            </w:r>
            <w:r w:rsidR="00214155">
              <w:rPr>
                <w:noProof/>
                <w:webHidden/>
              </w:rPr>
              <w:fldChar w:fldCharType="separate"/>
            </w:r>
            <w:r w:rsidR="00214155">
              <w:rPr>
                <w:noProof/>
                <w:webHidden/>
              </w:rPr>
              <w:t>9</w:t>
            </w:r>
            <w:r w:rsidR="00214155">
              <w:rPr>
                <w:noProof/>
                <w:webHidden/>
              </w:rPr>
              <w:fldChar w:fldCharType="end"/>
            </w:r>
          </w:hyperlink>
        </w:p>
        <w:p w14:paraId="67BF8FC0" w14:textId="5686BFE9" w:rsidR="00214155" w:rsidRDefault="00E70A5F">
          <w:pPr>
            <w:pStyle w:val="Obsah2"/>
            <w:tabs>
              <w:tab w:val="left" w:pos="880"/>
              <w:tab w:val="right" w:leader="dot" w:pos="9628"/>
            </w:tabs>
            <w:rPr>
              <w:rFonts w:eastAsiaTheme="minorEastAsia"/>
              <w:noProof/>
              <w:color w:val="auto"/>
              <w:lang w:eastAsia="cs-CZ"/>
            </w:rPr>
          </w:pPr>
          <w:hyperlink w:anchor="_Toc169181875" w:history="1">
            <w:r w:rsidR="00214155" w:rsidRPr="0079695B">
              <w:rPr>
                <w:rStyle w:val="Hypertextovodkaz"/>
                <w:rFonts w:cstheme="majorHAnsi"/>
                <w:noProof/>
              </w:rPr>
              <w:t>4.1.</w:t>
            </w:r>
            <w:r w:rsidR="00214155">
              <w:rPr>
                <w:rFonts w:eastAsiaTheme="minorEastAsia"/>
                <w:noProof/>
                <w:color w:val="auto"/>
                <w:lang w:eastAsia="cs-CZ"/>
              </w:rPr>
              <w:tab/>
            </w:r>
            <w:r w:rsidR="00214155" w:rsidRPr="0079695B">
              <w:rPr>
                <w:rStyle w:val="Hypertextovodkaz"/>
                <w:noProof/>
              </w:rPr>
              <w:t>Růst vývozu zboží a zvyšování exportního portfolia (diverzifikace exportu) firem</w:t>
            </w:r>
            <w:r w:rsidR="00214155">
              <w:rPr>
                <w:noProof/>
                <w:webHidden/>
              </w:rPr>
              <w:tab/>
            </w:r>
            <w:r w:rsidR="00214155">
              <w:rPr>
                <w:noProof/>
                <w:webHidden/>
              </w:rPr>
              <w:fldChar w:fldCharType="begin"/>
            </w:r>
            <w:r w:rsidR="00214155">
              <w:rPr>
                <w:noProof/>
                <w:webHidden/>
              </w:rPr>
              <w:instrText xml:space="preserve"> PAGEREF _Toc169181875 \h </w:instrText>
            </w:r>
            <w:r w:rsidR="00214155">
              <w:rPr>
                <w:noProof/>
                <w:webHidden/>
              </w:rPr>
            </w:r>
            <w:r w:rsidR="00214155">
              <w:rPr>
                <w:noProof/>
                <w:webHidden/>
              </w:rPr>
              <w:fldChar w:fldCharType="separate"/>
            </w:r>
            <w:r w:rsidR="00214155">
              <w:rPr>
                <w:noProof/>
                <w:webHidden/>
              </w:rPr>
              <w:t>9</w:t>
            </w:r>
            <w:r w:rsidR="00214155">
              <w:rPr>
                <w:noProof/>
                <w:webHidden/>
              </w:rPr>
              <w:fldChar w:fldCharType="end"/>
            </w:r>
          </w:hyperlink>
        </w:p>
        <w:p w14:paraId="3AFAA446" w14:textId="4444528B" w:rsidR="00214155" w:rsidRDefault="00E70A5F">
          <w:pPr>
            <w:pStyle w:val="Obsah2"/>
            <w:tabs>
              <w:tab w:val="left" w:pos="880"/>
              <w:tab w:val="right" w:leader="dot" w:pos="9628"/>
            </w:tabs>
            <w:rPr>
              <w:rFonts w:eastAsiaTheme="minorEastAsia"/>
              <w:noProof/>
              <w:color w:val="auto"/>
              <w:lang w:eastAsia="cs-CZ"/>
            </w:rPr>
          </w:pPr>
          <w:hyperlink w:anchor="_Toc169181876" w:history="1">
            <w:r w:rsidR="00214155" w:rsidRPr="0079695B">
              <w:rPr>
                <w:rStyle w:val="Hypertextovodkaz"/>
                <w:rFonts w:cstheme="majorHAnsi"/>
                <w:noProof/>
              </w:rPr>
              <w:t>4.2.</w:t>
            </w:r>
            <w:r w:rsidR="00214155">
              <w:rPr>
                <w:rFonts w:eastAsiaTheme="minorEastAsia"/>
                <w:noProof/>
                <w:color w:val="auto"/>
                <w:lang w:eastAsia="cs-CZ"/>
              </w:rPr>
              <w:tab/>
            </w:r>
            <w:r w:rsidR="00214155" w:rsidRPr="0079695B">
              <w:rPr>
                <w:rStyle w:val="Hypertextovodkaz"/>
                <w:noProof/>
              </w:rPr>
              <w:t>Vývoj rozdělení vývozu dle kategorií velikosti rezidentních exportérů</w:t>
            </w:r>
            <w:r w:rsidR="00214155">
              <w:rPr>
                <w:noProof/>
                <w:webHidden/>
              </w:rPr>
              <w:tab/>
            </w:r>
            <w:r w:rsidR="00214155">
              <w:rPr>
                <w:noProof/>
                <w:webHidden/>
              </w:rPr>
              <w:fldChar w:fldCharType="begin"/>
            </w:r>
            <w:r w:rsidR="00214155">
              <w:rPr>
                <w:noProof/>
                <w:webHidden/>
              </w:rPr>
              <w:instrText xml:space="preserve"> PAGEREF _Toc169181876 \h </w:instrText>
            </w:r>
            <w:r w:rsidR="00214155">
              <w:rPr>
                <w:noProof/>
                <w:webHidden/>
              </w:rPr>
            </w:r>
            <w:r w:rsidR="00214155">
              <w:rPr>
                <w:noProof/>
                <w:webHidden/>
              </w:rPr>
              <w:fldChar w:fldCharType="separate"/>
            </w:r>
            <w:r w:rsidR="00214155">
              <w:rPr>
                <w:noProof/>
                <w:webHidden/>
              </w:rPr>
              <w:t>9</w:t>
            </w:r>
            <w:r w:rsidR="00214155">
              <w:rPr>
                <w:noProof/>
                <w:webHidden/>
              </w:rPr>
              <w:fldChar w:fldCharType="end"/>
            </w:r>
          </w:hyperlink>
        </w:p>
        <w:p w14:paraId="3C7CDE02" w14:textId="4CCCF496" w:rsidR="00214155" w:rsidRDefault="00E70A5F">
          <w:pPr>
            <w:pStyle w:val="Obsah2"/>
            <w:tabs>
              <w:tab w:val="left" w:pos="880"/>
              <w:tab w:val="right" w:leader="dot" w:pos="9628"/>
            </w:tabs>
            <w:rPr>
              <w:rFonts w:eastAsiaTheme="minorEastAsia"/>
              <w:noProof/>
              <w:color w:val="auto"/>
              <w:lang w:eastAsia="cs-CZ"/>
            </w:rPr>
          </w:pPr>
          <w:hyperlink w:anchor="_Toc169181877" w:history="1">
            <w:r w:rsidR="00214155" w:rsidRPr="0079695B">
              <w:rPr>
                <w:rStyle w:val="Hypertextovodkaz"/>
                <w:rFonts w:cstheme="majorHAnsi"/>
                <w:bCs/>
                <w:noProof/>
              </w:rPr>
              <w:t>4.3.</w:t>
            </w:r>
            <w:r w:rsidR="00214155">
              <w:rPr>
                <w:rFonts w:eastAsiaTheme="minorEastAsia"/>
                <w:noProof/>
                <w:color w:val="auto"/>
                <w:lang w:eastAsia="cs-CZ"/>
              </w:rPr>
              <w:tab/>
            </w:r>
            <w:r w:rsidR="00214155" w:rsidRPr="0079695B">
              <w:rPr>
                <w:rStyle w:val="Hypertextovodkaz"/>
                <w:noProof/>
              </w:rPr>
              <w:t>Růst velikosti českých firem a zvyšování přítomnosti na zahraničních trzích</w:t>
            </w:r>
            <w:r w:rsidR="00214155">
              <w:rPr>
                <w:noProof/>
                <w:webHidden/>
              </w:rPr>
              <w:tab/>
            </w:r>
            <w:r w:rsidR="00214155">
              <w:rPr>
                <w:noProof/>
                <w:webHidden/>
              </w:rPr>
              <w:fldChar w:fldCharType="begin"/>
            </w:r>
            <w:r w:rsidR="00214155">
              <w:rPr>
                <w:noProof/>
                <w:webHidden/>
              </w:rPr>
              <w:instrText xml:space="preserve"> PAGEREF _Toc169181877 \h </w:instrText>
            </w:r>
            <w:r w:rsidR="00214155">
              <w:rPr>
                <w:noProof/>
                <w:webHidden/>
              </w:rPr>
            </w:r>
            <w:r w:rsidR="00214155">
              <w:rPr>
                <w:noProof/>
                <w:webHidden/>
              </w:rPr>
              <w:fldChar w:fldCharType="separate"/>
            </w:r>
            <w:r w:rsidR="00214155">
              <w:rPr>
                <w:noProof/>
                <w:webHidden/>
              </w:rPr>
              <w:t>10</w:t>
            </w:r>
            <w:r w:rsidR="00214155">
              <w:rPr>
                <w:noProof/>
                <w:webHidden/>
              </w:rPr>
              <w:fldChar w:fldCharType="end"/>
            </w:r>
          </w:hyperlink>
        </w:p>
        <w:p w14:paraId="28DFA97A" w14:textId="1D5DBEA2" w:rsidR="00131895" w:rsidRPr="00E32DC7" w:rsidRDefault="00131895">
          <w:r w:rsidRPr="00E32DC7">
            <w:rPr>
              <w:b/>
              <w:bCs/>
            </w:rPr>
            <w:fldChar w:fldCharType="end"/>
          </w:r>
        </w:p>
      </w:sdtContent>
    </w:sdt>
    <w:p w14:paraId="4FE13512" w14:textId="0DBDD6AC" w:rsidR="00131895" w:rsidRPr="00E32DC7" w:rsidRDefault="00131895" w:rsidP="00131895"/>
    <w:p w14:paraId="46E143E0" w14:textId="05990882" w:rsidR="00131895" w:rsidRPr="00E32DC7" w:rsidRDefault="00131895" w:rsidP="00131895"/>
    <w:p w14:paraId="5AE80624" w14:textId="7EEF24E2" w:rsidR="00131895" w:rsidRDefault="00131895" w:rsidP="00131895"/>
    <w:p w14:paraId="3766F168" w14:textId="1841CAD8" w:rsidR="008A4043" w:rsidRDefault="008A4043" w:rsidP="00131895"/>
    <w:p w14:paraId="2F0F7153" w14:textId="7E7B581D" w:rsidR="00214155" w:rsidRDefault="00214155" w:rsidP="00131895"/>
    <w:p w14:paraId="5CF03E01" w14:textId="77777777" w:rsidR="00214155" w:rsidRDefault="00214155" w:rsidP="00131895"/>
    <w:p w14:paraId="4D2B2C50" w14:textId="77777777" w:rsidR="0008479E" w:rsidRPr="00E32DC7" w:rsidRDefault="0008479E" w:rsidP="00131895"/>
    <w:p w14:paraId="5053DA5D" w14:textId="77675820" w:rsidR="00131895" w:rsidRPr="00E32DC7" w:rsidRDefault="00131895" w:rsidP="00131895"/>
    <w:p w14:paraId="5207EB78" w14:textId="77777777" w:rsidR="00825480" w:rsidRPr="00E32DC7" w:rsidRDefault="00825480" w:rsidP="000A2337">
      <w:pPr>
        <w:pStyle w:val="Nadpis1"/>
      </w:pPr>
      <w:bookmarkStart w:id="2" w:name="_Toc169181851"/>
      <w:r w:rsidRPr="00E32DC7">
        <w:lastRenderedPageBreak/>
        <w:t>Úvod</w:t>
      </w:r>
      <w:bookmarkEnd w:id="2"/>
    </w:p>
    <w:p w14:paraId="33F5B3D5" w14:textId="4B681B3C" w:rsidR="001D6AFD" w:rsidRPr="00E32DC7" w:rsidRDefault="005067E1" w:rsidP="009668AF">
      <w:pPr>
        <w:pStyle w:val="Bezmezer"/>
        <w:jc w:val="both"/>
        <w:rPr>
          <w:rFonts w:asciiTheme="majorHAnsi" w:hAnsiTheme="majorHAnsi" w:cstheme="majorHAnsi"/>
        </w:rPr>
      </w:pPr>
      <w:r w:rsidRPr="00E32DC7">
        <w:t>Na základě usnesení vlády ČR č. 599 ze dne 26. července 2023 o</w:t>
      </w:r>
      <w:r w:rsidR="000F25DC">
        <w:t> </w:t>
      </w:r>
      <w:r w:rsidRPr="00E32DC7">
        <w:t>Exportní strategii ČR 2023–2033</w:t>
      </w:r>
      <w:r w:rsidR="001D6AFD" w:rsidRPr="00E32DC7">
        <w:t xml:space="preserve"> (dále jen „Exportní strategie“ nebo „Strategie“)</w:t>
      </w:r>
      <w:r w:rsidRPr="00E32DC7">
        <w:t xml:space="preserve"> předkládá Minis</w:t>
      </w:r>
      <w:r w:rsidRPr="00E32DC7">
        <w:rPr>
          <w:rFonts w:asciiTheme="majorHAnsi" w:hAnsiTheme="majorHAnsi" w:cstheme="majorHAnsi"/>
        </w:rPr>
        <w:t>terstvo průmyslu a</w:t>
      </w:r>
      <w:r w:rsidR="000F25DC">
        <w:rPr>
          <w:rFonts w:asciiTheme="majorHAnsi" w:hAnsiTheme="majorHAnsi" w:cstheme="majorHAnsi"/>
        </w:rPr>
        <w:t> </w:t>
      </w:r>
      <w:r w:rsidRPr="00E32DC7">
        <w:rPr>
          <w:rFonts w:asciiTheme="majorHAnsi" w:hAnsiTheme="majorHAnsi" w:cstheme="majorHAnsi"/>
        </w:rPr>
        <w:t>obchodu</w:t>
      </w:r>
      <w:r w:rsidR="00F52492">
        <w:rPr>
          <w:rFonts w:asciiTheme="majorHAnsi" w:hAnsiTheme="majorHAnsi" w:cstheme="majorHAnsi"/>
        </w:rPr>
        <w:t xml:space="preserve"> k 30. 6. 2024 </w:t>
      </w:r>
      <w:r w:rsidRPr="00E32DC7">
        <w:rPr>
          <w:rFonts w:asciiTheme="majorHAnsi" w:hAnsiTheme="majorHAnsi" w:cstheme="majorHAnsi"/>
        </w:rPr>
        <w:t xml:space="preserve">pro informaci členům vlády České republiky </w:t>
      </w:r>
      <w:r w:rsidR="00F52492">
        <w:rPr>
          <w:rFonts w:asciiTheme="majorHAnsi" w:hAnsiTheme="majorHAnsi" w:cstheme="majorHAnsi"/>
        </w:rPr>
        <w:t>Z</w:t>
      </w:r>
      <w:r w:rsidRPr="00E32DC7">
        <w:rPr>
          <w:rFonts w:asciiTheme="majorHAnsi" w:hAnsiTheme="majorHAnsi" w:cstheme="majorHAnsi"/>
        </w:rPr>
        <w:t>právu o</w:t>
      </w:r>
      <w:r w:rsidR="000F25DC">
        <w:rPr>
          <w:rFonts w:asciiTheme="majorHAnsi" w:hAnsiTheme="majorHAnsi" w:cstheme="majorHAnsi"/>
        </w:rPr>
        <w:t> </w:t>
      </w:r>
      <w:r w:rsidRPr="00E32DC7">
        <w:rPr>
          <w:rFonts w:asciiTheme="majorHAnsi" w:hAnsiTheme="majorHAnsi" w:cstheme="majorHAnsi"/>
        </w:rPr>
        <w:t>plnění Exportní strategie</w:t>
      </w:r>
      <w:r w:rsidR="001D6AFD" w:rsidRPr="00E32DC7">
        <w:rPr>
          <w:rFonts w:asciiTheme="majorHAnsi" w:hAnsiTheme="majorHAnsi" w:cstheme="majorHAnsi"/>
        </w:rPr>
        <w:t xml:space="preserve"> (dále jen „Zpráva“)</w:t>
      </w:r>
      <w:r w:rsidR="00F52492">
        <w:rPr>
          <w:rFonts w:asciiTheme="majorHAnsi" w:hAnsiTheme="majorHAnsi" w:cstheme="majorHAnsi"/>
        </w:rPr>
        <w:t xml:space="preserve"> za předchozí kalendářní rok</w:t>
      </w:r>
      <w:r w:rsidRPr="00E32DC7">
        <w:rPr>
          <w:rFonts w:asciiTheme="majorHAnsi" w:hAnsiTheme="majorHAnsi" w:cstheme="majorHAnsi"/>
        </w:rPr>
        <w:t xml:space="preserve">. </w:t>
      </w:r>
      <w:r w:rsidR="00266667" w:rsidRPr="00E32DC7">
        <w:rPr>
          <w:rFonts w:asciiTheme="majorHAnsi" w:hAnsiTheme="majorHAnsi" w:cstheme="majorHAnsi"/>
        </w:rPr>
        <w:t xml:space="preserve">Zpráva obsahuje informace </w:t>
      </w:r>
      <w:r w:rsidR="001D6AFD" w:rsidRPr="00E32DC7">
        <w:rPr>
          <w:rFonts w:asciiTheme="majorHAnsi" w:hAnsiTheme="majorHAnsi" w:cstheme="majorHAnsi"/>
        </w:rPr>
        <w:t>o</w:t>
      </w:r>
      <w:r w:rsidR="000F25DC">
        <w:rPr>
          <w:rFonts w:asciiTheme="majorHAnsi" w:hAnsiTheme="majorHAnsi" w:cstheme="majorHAnsi"/>
        </w:rPr>
        <w:t> </w:t>
      </w:r>
      <w:r w:rsidR="001D6AFD" w:rsidRPr="00E32DC7">
        <w:rPr>
          <w:rFonts w:asciiTheme="majorHAnsi" w:hAnsiTheme="majorHAnsi" w:cstheme="majorHAnsi"/>
        </w:rPr>
        <w:t>koordinačním a</w:t>
      </w:r>
      <w:r w:rsidR="000F25DC">
        <w:rPr>
          <w:rFonts w:asciiTheme="majorHAnsi" w:hAnsiTheme="majorHAnsi" w:cstheme="majorHAnsi"/>
        </w:rPr>
        <w:t> </w:t>
      </w:r>
      <w:r w:rsidR="001D6AFD" w:rsidRPr="00E32DC7">
        <w:rPr>
          <w:rFonts w:asciiTheme="majorHAnsi" w:hAnsiTheme="majorHAnsi" w:cstheme="majorHAnsi"/>
        </w:rPr>
        <w:t>řídícím mechanismu implementace Strategie, opatřeních a</w:t>
      </w:r>
      <w:r w:rsidR="000F25DC">
        <w:rPr>
          <w:rFonts w:asciiTheme="majorHAnsi" w:hAnsiTheme="majorHAnsi" w:cstheme="majorHAnsi"/>
        </w:rPr>
        <w:t> </w:t>
      </w:r>
      <w:r w:rsidR="001D6AFD" w:rsidRPr="00E32DC7">
        <w:rPr>
          <w:rFonts w:asciiTheme="majorHAnsi" w:hAnsiTheme="majorHAnsi" w:cstheme="majorHAnsi"/>
        </w:rPr>
        <w:t>aktivitách přijatých k</w:t>
      </w:r>
      <w:r w:rsidR="000F25DC">
        <w:rPr>
          <w:rFonts w:asciiTheme="majorHAnsi" w:hAnsiTheme="majorHAnsi" w:cstheme="majorHAnsi"/>
        </w:rPr>
        <w:t> </w:t>
      </w:r>
      <w:r w:rsidR="001D6AFD" w:rsidRPr="00E32DC7">
        <w:rPr>
          <w:rFonts w:asciiTheme="majorHAnsi" w:hAnsiTheme="majorHAnsi" w:cstheme="majorHAnsi"/>
        </w:rPr>
        <w:t>plnění Strategie a</w:t>
      </w:r>
      <w:r w:rsidR="000F25DC">
        <w:rPr>
          <w:rFonts w:asciiTheme="majorHAnsi" w:hAnsiTheme="majorHAnsi" w:cstheme="majorHAnsi"/>
        </w:rPr>
        <w:t> </w:t>
      </w:r>
      <w:r w:rsidR="001D6AFD" w:rsidRPr="00E32DC7">
        <w:rPr>
          <w:rFonts w:asciiTheme="majorHAnsi" w:hAnsiTheme="majorHAnsi" w:cstheme="majorHAnsi"/>
        </w:rPr>
        <w:t xml:space="preserve">výhled plnění na nejbližší období. </w:t>
      </w:r>
    </w:p>
    <w:p w14:paraId="71F541CF" w14:textId="22E33B56" w:rsidR="00825480" w:rsidRPr="00E32DC7" w:rsidRDefault="00825480" w:rsidP="000A2337">
      <w:pPr>
        <w:pStyle w:val="Nadpis1"/>
      </w:pPr>
      <w:bookmarkStart w:id="3" w:name="_Toc169181852"/>
      <w:r w:rsidRPr="00E32DC7">
        <w:t>Řídící mechanismus plnění Exportní strategie</w:t>
      </w:r>
      <w:bookmarkEnd w:id="3"/>
    </w:p>
    <w:p w14:paraId="5E175133" w14:textId="1053A3DF" w:rsidR="00B24F73" w:rsidRPr="0016059B" w:rsidRDefault="005015B4" w:rsidP="009668AF">
      <w:pPr>
        <w:pStyle w:val="Bezmezer"/>
        <w:jc w:val="both"/>
        <w:rPr>
          <w:rFonts w:cstheme="minorHAnsi"/>
        </w:rPr>
      </w:pPr>
      <w:r>
        <w:t>Pro</w:t>
      </w:r>
      <w:r w:rsidR="00825480" w:rsidRPr="00E32DC7">
        <w:t xml:space="preserve"> koordinac</w:t>
      </w:r>
      <w:r>
        <w:t>i</w:t>
      </w:r>
      <w:r w:rsidR="00825480" w:rsidRPr="00E32DC7">
        <w:t xml:space="preserve"> a</w:t>
      </w:r>
      <w:r w:rsidR="000F25DC">
        <w:t> </w:t>
      </w:r>
      <w:r w:rsidR="00825480" w:rsidRPr="00E32DC7">
        <w:t xml:space="preserve">řízení </w:t>
      </w:r>
      <w:r>
        <w:t>implementace</w:t>
      </w:r>
      <w:r w:rsidR="00825480" w:rsidRPr="00E32DC7">
        <w:t xml:space="preserve"> Strategie byl</w:t>
      </w:r>
      <w:r w:rsidR="00F52492">
        <w:t xml:space="preserve"> v září 2023</w:t>
      </w:r>
      <w:r w:rsidR="00825480" w:rsidRPr="00E32DC7">
        <w:t xml:space="preserve"> </w:t>
      </w:r>
      <w:r>
        <w:t xml:space="preserve">ustanoven </w:t>
      </w:r>
      <w:r w:rsidR="00825480" w:rsidRPr="00E32DC7">
        <w:t xml:space="preserve">Řídící výbor </w:t>
      </w:r>
      <w:r w:rsidR="00032B9A" w:rsidRPr="00E32DC7">
        <w:t>E</w:t>
      </w:r>
      <w:r w:rsidR="00825480" w:rsidRPr="00E32DC7">
        <w:t>xportní strategie (dále jen „ŘVES“</w:t>
      </w:r>
      <w:r w:rsidR="008633E4" w:rsidRPr="00E32DC7">
        <w:t xml:space="preserve"> nebo „Řídící výbor“</w:t>
      </w:r>
      <w:r w:rsidR="00825480" w:rsidRPr="00E32DC7">
        <w:t>)</w:t>
      </w:r>
      <w:r>
        <w:t>.</w:t>
      </w:r>
      <w:r w:rsidR="00825480" w:rsidRPr="00E32DC7">
        <w:t xml:space="preserve"> </w:t>
      </w:r>
      <w:r>
        <w:t>V</w:t>
      </w:r>
      <w:r w:rsidR="00825480" w:rsidRPr="00E32DC7">
        <w:t xml:space="preserve">edle zástupců </w:t>
      </w:r>
      <w:r w:rsidR="00DE44D7" w:rsidRPr="00E32DC7">
        <w:t>M</w:t>
      </w:r>
      <w:r w:rsidR="00825480" w:rsidRPr="00E32DC7">
        <w:t>inisterstva průmyslu a</w:t>
      </w:r>
      <w:r w:rsidR="000F25DC">
        <w:t> </w:t>
      </w:r>
      <w:r w:rsidR="00825480" w:rsidRPr="00E32DC7">
        <w:t>obchodu</w:t>
      </w:r>
      <w:r w:rsidR="008633E4" w:rsidRPr="00E32DC7">
        <w:t xml:space="preserve">, </w:t>
      </w:r>
      <w:r w:rsidR="00825480" w:rsidRPr="00E32DC7">
        <w:t>zasedají</w:t>
      </w:r>
      <w:r>
        <w:t xml:space="preserve"> v</w:t>
      </w:r>
      <w:r w:rsidR="000F25DC">
        <w:t> </w:t>
      </w:r>
      <w:r>
        <w:t>Řídícím výboru</w:t>
      </w:r>
      <w:r w:rsidR="00825480" w:rsidRPr="00E32DC7">
        <w:t xml:space="preserve"> představitelé čtyř ministerstev (</w:t>
      </w:r>
      <w:r w:rsidR="00DE44D7" w:rsidRPr="00E32DC7">
        <w:t>M</w:t>
      </w:r>
      <w:r w:rsidR="00825480" w:rsidRPr="00E32DC7">
        <w:t xml:space="preserve">inisterstvo zahraničních věcí, </w:t>
      </w:r>
      <w:r w:rsidR="00DE44D7" w:rsidRPr="00E32DC7">
        <w:t>M</w:t>
      </w:r>
      <w:r w:rsidR="00825480" w:rsidRPr="00E32DC7">
        <w:t xml:space="preserve">inisterstvo financí, </w:t>
      </w:r>
      <w:r w:rsidR="00DE44D7" w:rsidRPr="00E32DC7">
        <w:t>M</w:t>
      </w:r>
      <w:r w:rsidR="00825480" w:rsidRPr="00E32DC7">
        <w:t>inisterstvo obrany a</w:t>
      </w:r>
      <w:r w:rsidR="000F25DC">
        <w:t> </w:t>
      </w:r>
      <w:r w:rsidR="00DE44D7" w:rsidRPr="00E32DC7">
        <w:t>M</w:t>
      </w:r>
      <w:r w:rsidR="00825480" w:rsidRPr="00E32DC7">
        <w:t>inisterstvo zemědělství) a</w:t>
      </w:r>
      <w:r w:rsidR="000F25DC">
        <w:t> </w:t>
      </w:r>
      <w:r w:rsidR="00825480" w:rsidRPr="00E32DC7">
        <w:t>čtyř podnikatelských reprezentací (Hospodářská komora ČR, Svaz průmyslu</w:t>
      </w:r>
      <w:r w:rsidR="00D37642" w:rsidRPr="00E32DC7">
        <w:t xml:space="preserve"> a</w:t>
      </w:r>
      <w:r w:rsidR="000F25DC">
        <w:t> </w:t>
      </w:r>
      <w:r w:rsidR="00D37642" w:rsidRPr="00E32DC7">
        <w:t>dopravy</w:t>
      </w:r>
      <w:r w:rsidR="00825480" w:rsidRPr="00E32DC7">
        <w:t xml:space="preserve"> ČR, Konfederace zaměstnavatelských a</w:t>
      </w:r>
      <w:r w:rsidR="000F25DC">
        <w:t> </w:t>
      </w:r>
      <w:r w:rsidR="00825480" w:rsidRPr="00E32DC7">
        <w:t>podnikatelských svazů</w:t>
      </w:r>
      <w:r w:rsidR="00D37642" w:rsidRPr="00E32DC7">
        <w:t xml:space="preserve"> ČR</w:t>
      </w:r>
      <w:r w:rsidR="00825480" w:rsidRPr="00E32DC7">
        <w:t xml:space="preserve"> a</w:t>
      </w:r>
      <w:r w:rsidR="000F25DC">
        <w:t> </w:t>
      </w:r>
      <w:r w:rsidR="00825480" w:rsidRPr="00E32DC7">
        <w:t>Asociace malých a</w:t>
      </w:r>
      <w:r w:rsidR="000F25DC">
        <w:t> </w:t>
      </w:r>
      <w:r w:rsidR="00825480" w:rsidRPr="00E32DC7">
        <w:t>středních podniků</w:t>
      </w:r>
      <w:r w:rsidR="00D37642" w:rsidRPr="00E32DC7">
        <w:t xml:space="preserve"> ČR</w:t>
      </w:r>
      <w:r w:rsidR="00825480" w:rsidRPr="00E32DC7">
        <w:t>)</w:t>
      </w:r>
      <w:r>
        <w:t>.</w:t>
      </w:r>
      <w:r w:rsidR="008633E4" w:rsidRPr="00E32DC7">
        <w:t xml:space="preserve"> </w:t>
      </w:r>
      <w:r w:rsidR="0016059B">
        <w:rPr>
          <w:rFonts w:cstheme="minorHAnsi"/>
        </w:rPr>
        <w:t xml:space="preserve"> </w:t>
      </w:r>
      <w:r w:rsidR="00EE64CE">
        <w:t>Z</w:t>
      </w:r>
      <w:r w:rsidR="00381B0C" w:rsidRPr="00E32DC7">
        <w:t>asedání</w:t>
      </w:r>
      <w:r>
        <w:t xml:space="preserve"> ŘVES</w:t>
      </w:r>
      <w:r w:rsidR="00381B0C" w:rsidRPr="00E32DC7">
        <w:t xml:space="preserve"> </w:t>
      </w:r>
      <w:r w:rsidR="00EE64CE">
        <w:t xml:space="preserve">proběhla v </w:t>
      </w:r>
      <w:r w:rsidR="00AA3248" w:rsidRPr="00E32DC7">
        <w:t>září</w:t>
      </w:r>
      <w:r w:rsidR="00381B0C" w:rsidRPr="00E32DC7">
        <w:t>,</w:t>
      </w:r>
      <w:r w:rsidR="00CC2353" w:rsidRPr="00E32DC7">
        <w:t> </w:t>
      </w:r>
      <w:r w:rsidR="00AA3248" w:rsidRPr="00E32DC7">
        <w:t>prosinc</w:t>
      </w:r>
      <w:r w:rsidR="00EE64CE">
        <w:t>i</w:t>
      </w:r>
      <w:r w:rsidR="00381B0C" w:rsidRPr="00E32DC7">
        <w:t xml:space="preserve"> 2023 a</w:t>
      </w:r>
      <w:r w:rsidR="000F25DC">
        <w:t> </w:t>
      </w:r>
      <w:r w:rsidR="00381B0C" w:rsidRPr="00E32DC7">
        <w:t>dubn</w:t>
      </w:r>
      <w:r w:rsidR="00EE64CE">
        <w:t>u</w:t>
      </w:r>
      <w:r w:rsidR="00381B0C" w:rsidRPr="00E32DC7">
        <w:t xml:space="preserve"> 2024.</w:t>
      </w:r>
      <w:r w:rsidR="00AA3248" w:rsidRPr="00E32DC7">
        <w:t xml:space="preserve"> </w:t>
      </w:r>
      <w:r w:rsidR="00381B0C" w:rsidRPr="00E32DC7">
        <w:t xml:space="preserve">Na úvodním zasedání </w:t>
      </w:r>
      <w:r w:rsidR="00AA3248" w:rsidRPr="00E32DC7">
        <w:t>ŘVES</w:t>
      </w:r>
      <w:r w:rsidR="00B24F73" w:rsidRPr="00E32DC7">
        <w:t xml:space="preserve"> stanovil 14 prioritních opatření a</w:t>
      </w:r>
      <w:r w:rsidR="000F25DC">
        <w:t> </w:t>
      </w:r>
      <w:r w:rsidR="00B24F73" w:rsidRPr="00E32DC7">
        <w:t>určil konkrétní krátkodobé a</w:t>
      </w:r>
      <w:r w:rsidR="000F25DC">
        <w:t> </w:t>
      </w:r>
      <w:r w:rsidR="00B24F73" w:rsidRPr="00E32DC7">
        <w:t xml:space="preserve">střednědobé úkoly </w:t>
      </w:r>
      <w:r w:rsidR="001E76DA" w:rsidRPr="00E32DC7">
        <w:t>pro jejich plnění.</w:t>
      </w:r>
    </w:p>
    <w:p w14:paraId="018F52CF" w14:textId="5C55E73B" w:rsidR="00186954" w:rsidRPr="00E32DC7" w:rsidRDefault="005015B4" w:rsidP="000A2337">
      <w:pPr>
        <w:pStyle w:val="Nadpis1"/>
      </w:pPr>
      <w:bookmarkStart w:id="4" w:name="_Toc169181853"/>
      <w:r>
        <w:t>Plnění prioritních</w:t>
      </w:r>
      <w:r w:rsidR="00186954" w:rsidRPr="00E32DC7">
        <w:t xml:space="preserve"> opatření</w:t>
      </w:r>
      <w:r w:rsidR="00581893" w:rsidRPr="00E32DC7">
        <w:t xml:space="preserve"> Exportní strategie</w:t>
      </w:r>
      <w:bookmarkEnd w:id="4"/>
    </w:p>
    <w:p w14:paraId="3415AE49" w14:textId="77777777" w:rsidR="00EB0BC9" w:rsidRPr="00EB0BC9" w:rsidRDefault="00EB0BC9" w:rsidP="00EB0BC9">
      <w:pPr>
        <w:pStyle w:val="Odstavecseseznamem"/>
        <w:keepNext/>
        <w:keepLines/>
        <w:numPr>
          <w:ilvl w:val="0"/>
          <w:numId w:val="22"/>
        </w:numPr>
        <w:spacing w:before="80" w:after="0"/>
        <w:contextualSpacing w:val="0"/>
        <w:outlineLvl w:val="1"/>
        <w:rPr>
          <w:rFonts w:asciiTheme="majorHAnsi" w:eastAsiaTheme="majorEastAsia" w:hAnsiTheme="majorHAnsi" w:cstheme="majorBidi"/>
          <w:b/>
          <w:vanish/>
          <w:sz w:val="26"/>
          <w:szCs w:val="26"/>
        </w:rPr>
      </w:pPr>
      <w:bookmarkStart w:id="5" w:name="_Toc168649770"/>
      <w:bookmarkStart w:id="6" w:name="_Toc168659388"/>
      <w:bookmarkStart w:id="7" w:name="_Toc168660321"/>
      <w:bookmarkStart w:id="8" w:name="_Toc168661309"/>
      <w:bookmarkStart w:id="9" w:name="_Toc168674648"/>
      <w:bookmarkStart w:id="10" w:name="_Toc168904302"/>
      <w:bookmarkStart w:id="11" w:name="_Toc169181827"/>
      <w:bookmarkStart w:id="12" w:name="_Toc169181854"/>
      <w:bookmarkEnd w:id="5"/>
      <w:bookmarkEnd w:id="6"/>
      <w:bookmarkEnd w:id="7"/>
      <w:bookmarkEnd w:id="8"/>
      <w:bookmarkEnd w:id="9"/>
      <w:bookmarkEnd w:id="10"/>
      <w:bookmarkEnd w:id="11"/>
      <w:bookmarkEnd w:id="12"/>
    </w:p>
    <w:p w14:paraId="344A8EAE" w14:textId="77777777" w:rsidR="00EB0BC9" w:rsidRPr="00EB0BC9" w:rsidRDefault="00EB0BC9" w:rsidP="00EB0BC9">
      <w:pPr>
        <w:pStyle w:val="Odstavecseseznamem"/>
        <w:keepNext/>
        <w:keepLines/>
        <w:numPr>
          <w:ilvl w:val="0"/>
          <w:numId w:val="22"/>
        </w:numPr>
        <w:spacing w:before="80" w:after="0"/>
        <w:contextualSpacing w:val="0"/>
        <w:outlineLvl w:val="1"/>
        <w:rPr>
          <w:rFonts w:asciiTheme="majorHAnsi" w:eastAsiaTheme="majorEastAsia" w:hAnsiTheme="majorHAnsi" w:cstheme="majorBidi"/>
          <w:b/>
          <w:vanish/>
          <w:sz w:val="26"/>
          <w:szCs w:val="26"/>
        </w:rPr>
      </w:pPr>
      <w:bookmarkStart w:id="13" w:name="_Toc168649771"/>
      <w:bookmarkStart w:id="14" w:name="_Toc168659389"/>
      <w:bookmarkStart w:id="15" w:name="_Toc168660322"/>
      <w:bookmarkStart w:id="16" w:name="_Toc168661310"/>
      <w:bookmarkStart w:id="17" w:name="_Toc168674649"/>
      <w:bookmarkStart w:id="18" w:name="_Toc168904303"/>
      <w:bookmarkStart w:id="19" w:name="_Toc169181828"/>
      <w:bookmarkStart w:id="20" w:name="_Toc169181855"/>
      <w:bookmarkEnd w:id="13"/>
      <w:bookmarkEnd w:id="14"/>
      <w:bookmarkEnd w:id="15"/>
      <w:bookmarkEnd w:id="16"/>
      <w:bookmarkEnd w:id="17"/>
      <w:bookmarkEnd w:id="18"/>
      <w:bookmarkEnd w:id="19"/>
      <w:bookmarkEnd w:id="20"/>
    </w:p>
    <w:p w14:paraId="48E330DD" w14:textId="77777777" w:rsidR="00EB0BC9" w:rsidRPr="00EB0BC9" w:rsidRDefault="00EB0BC9" w:rsidP="00EB0BC9">
      <w:pPr>
        <w:pStyle w:val="Odstavecseseznamem"/>
        <w:keepNext/>
        <w:keepLines/>
        <w:numPr>
          <w:ilvl w:val="0"/>
          <w:numId w:val="22"/>
        </w:numPr>
        <w:spacing w:before="80" w:after="0"/>
        <w:contextualSpacing w:val="0"/>
        <w:outlineLvl w:val="1"/>
        <w:rPr>
          <w:rFonts w:asciiTheme="majorHAnsi" w:eastAsiaTheme="majorEastAsia" w:hAnsiTheme="majorHAnsi" w:cstheme="majorBidi"/>
          <w:b/>
          <w:vanish/>
          <w:sz w:val="26"/>
          <w:szCs w:val="26"/>
        </w:rPr>
      </w:pPr>
      <w:bookmarkStart w:id="21" w:name="_Toc168649772"/>
      <w:bookmarkStart w:id="22" w:name="_Toc168659390"/>
      <w:bookmarkStart w:id="23" w:name="_Toc168660323"/>
      <w:bookmarkStart w:id="24" w:name="_Toc168661311"/>
      <w:bookmarkStart w:id="25" w:name="_Toc168674650"/>
      <w:bookmarkStart w:id="26" w:name="_Toc168904304"/>
      <w:bookmarkStart w:id="27" w:name="_Toc169181829"/>
      <w:bookmarkStart w:id="28" w:name="_Toc169181856"/>
      <w:bookmarkEnd w:id="21"/>
      <w:bookmarkEnd w:id="22"/>
      <w:bookmarkEnd w:id="23"/>
      <w:bookmarkEnd w:id="24"/>
      <w:bookmarkEnd w:id="25"/>
      <w:bookmarkEnd w:id="26"/>
      <w:bookmarkEnd w:id="27"/>
      <w:bookmarkEnd w:id="28"/>
    </w:p>
    <w:p w14:paraId="21431AD8" w14:textId="77777777" w:rsidR="00EB0BC9" w:rsidRPr="00EB0BC9" w:rsidRDefault="00EB0BC9" w:rsidP="00EB0BC9">
      <w:pPr>
        <w:pStyle w:val="Odstavecseseznamem"/>
        <w:keepNext/>
        <w:keepLines/>
        <w:numPr>
          <w:ilvl w:val="0"/>
          <w:numId w:val="23"/>
        </w:numPr>
        <w:spacing w:before="80" w:after="0"/>
        <w:contextualSpacing w:val="0"/>
        <w:outlineLvl w:val="1"/>
        <w:rPr>
          <w:rFonts w:asciiTheme="majorHAnsi" w:eastAsiaTheme="majorEastAsia" w:hAnsiTheme="majorHAnsi" w:cstheme="majorBidi"/>
          <w:b/>
          <w:vanish/>
          <w:sz w:val="26"/>
          <w:szCs w:val="26"/>
        </w:rPr>
      </w:pPr>
      <w:bookmarkStart w:id="29" w:name="_Toc168649773"/>
      <w:bookmarkStart w:id="30" w:name="_Toc168659391"/>
      <w:bookmarkStart w:id="31" w:name="_Toc168660324"/>
      <w:bookmarkStart w:id="32" w:name="_Toc168661312"/>
      <w:bookmarkStart w:id="33" w:name="_Toc168674651"/>
      <w:bookmarkStart w:id="34" w:name="_Toc168904305"/>
      <w:bookmarkStart w:id="35" w:name="_Toc169181830"/>
      <w:bookmarkStart w:id="36" w:name="_Toc169181857"/>
      <w:bookmarkEnd w:id="29"/>
      <w:bookmarkEnd w:id="30"/>
      <w:bookmarkEnd w:id="31"/>
      <w:bookmarkEnd w:id="32"/>
      <w:bookmarkEnd w:id="33"/>
      <w:bookmarkEnd w:id="34"/>
      <w:bookmarkEnd w:id="35"/>
      <w:bookmarkEnd w:id="36"/>
    </w:p>
    <w:p w14:paraId="3950C894" w14:textId="77777777" w:rsidR="00EB0BC9" w:rsidRPr="00EB0BC9" w:rsidRDefault="00EB0BC9" w:rsidP="00EB0BC9">
      <w:pPr>
        <w:pStyle w:val="Odstavecseseznamem"/>
        <w:keepNext/>
        <w:keepLines/>
        <w:numPr>
          <w:ilvl w:val="0"/>
          <w:numId w:val="23"/>
        </w:numPr>
        <w:spacing w:before="80" w:after="0"/>
        <w:contextualSpacing w:val="0"/>
        <w:outlineLvl w:val="1"/>
        <w:rPr>
          <w:rFonts w:asciiTheme="majorHAnsi" w:eastAsiaTheme="majorEastAsia" w:hAnsiTheme="majorHAnsi" w:cstheme="majorBidi"/>
          <w:b/>
          <w:vanish/>
          <w:sz w:val="26"/>
          <w:szCs w:val="26"/>
        </w:rPr>
      </w:pPr>
      <w:bookmarkStart w:id="37" w:name="_Toc168649774"/>
      <w:bookmarkStart w:id="38" w:name="_Toc168659392"/>
      <w:bookmarkStart w:id="39" w:name="_Toc168660325"/>
      <w:bookmarkStart w:id="40" w:name="_Toc168661313"/>
      <w:bookmarkStart w:id="41" w:name="_Toc168674652"/>
      <w:bookmarkStart w:id="42" w:name="_Toc168904306"/>
      <w:bookmarkStart w:id="43" w:name="_Toc169181831"/>
      <w:bookmarkStart w:id="44" w:name="_Toc169181858"/>
      <w:bookmarkEnd w:id="37"/>
      <w:bookmarkEnd w:id="38"/>
      <w:bookmarkEnd w:id="39"/>
      <w:bookmarkEnd w:id="40"/>
      <w:bookmarkEnd w:id="41"/>
      <w:bookmarkEnd w:id="42"/>
      <w:bookmarkEnd w:id="43"/>
      <w:bookmarkEnd w:id="44"/>
    </w:p>
    <w:p w14:paraId="0405959E" w14:textId="77777777" w:rsidR="00EB0BC9" w:rsidRPr="00EB0BC9" w:rsidRDefault="00EB0BC9" w:rsidP="00EB0BC9">
      <w:pPr>
        <w:pStyle w:val="Odstavecseseznamem"/>
        <w:keepNext/>
        <w:keepLines/>
        <w:numPr>
          <w:ilvl w:val="0"/>
          <w:numId w:val="23"/>
        </w:numPr>
        <w:spacing w:before="80" w:after="0"/>
        <w:contextualSpacing w:val="0"/>
        <w:outlineLvl w:val="1"/>
        <w:rPr>
          <w:rFonts w:asciiTheme="majorHAnsi" w:eastAsiaTheme="majorEastAsia" w:hAnsiTheme="majorHAnsi" w:cstheme="majorBidi"/>
          <w:b/>
          <w:vanish/>
          <w:sz w:val="26"/>
          <w:szCs w:val="26"/>
        </w:rPr>
      </w:pPr>
      <w:bookmarkStart w:id="45" w:name="_Toc168649775"/>
      <w:bookmarkStart w:id="46" w:name="_Toc168659393"/>
      <w:bookmarkStart w:id="47" w:name="_Toc168660326"/>
      <w:bookmarkStart w:id="48" w:name="_Toc168661314"/>
      <w:bookmarkStart w:id="49" w:name="_Toc168674653"/>
      <w:bookmarkStart w:id="50" w:name="_Toc168904307"/>
      <w:bookmarkStart w:id="51" w:name="_Toc169181832"/>
      <w:bookmarkStart w:id="52" w:name="_Toc169181859"/>
      <w:bookmarkEnd w:id="45"/>
      <w:bookmarkEnd w:id="46"/>
      <w:bookmarkEnd w:id="47"/>
      <w:bookmarkEnd w:id="48"/>
      <w:bookmarkEnd w:id="49"/>
      <w:bookmarkEnd w:id="50"/>
      <w:bookmarkEnd w:id="51"/>
      <w:bookmarkEnd w:id="52"/>
    </w:p>
    <w:p w14:paraId="6D2569F0" w14:textId="6B2BA27D" w:rsidR="00186954" w:rsidRPr="00E32DC7" w:rsidRDefault="00186954" w:rsidP="000A2337">
      <w:pPr>
        <w:pStyle w:val="Nadpis2"/>
      </w:pPr>
      <w:bookmarkStart w:id="53" w:name="_Toc169181860"/>
      <w:r w:rsidRPr="00E32DC7">
        <w:t>Posílení koordinační platformy sdílené podpory podnikání</w:t>
      </w:r>
      <w:bookmarkEnd w:id="53"/>
      <w:r w:rsidR="004D6A2E" w:rsidRPr="00E32DC7">
        <w:t xml:space="preserve"> </w:t>
      </w:r>
    </w:p>
    <w:p w14:paraId="3786F97C" w14:textId="23F79689" w:rsidR="00CC70BD" w:rsidRPr="00E32DC7" w:rsidRDefault="001E76DA" w:rsidP="00BA48DD">
      <w:pPr>
        <w:pStyle w:val="Bezmezer"/>
        <w:jc w:val="both"/>
        <w:rPr>
          <w:bCs/>
        </w:rPr>
      </w:pPr>
      <w:r w:rsidRPr="00E32DC7">
        <w:rPr>
          <w:rFonts w:asciiTheme="majorHAnsi" w:hAnsiTheme="majorHAnsi" w:cstheme="majorHAnsi"/>
        </w:rPr>
        <w:t xml:space="preserve">V druhé polovině roku 2023 </w:t>
      </w:r>
      <w:r w:rsidR="00BA48DD" w:rsidRPr="00E32DC7">
        <w:rPr>
          <w:rFonts w:asciiTheme="majorHAnsi" w:hAnsiTheme="majorHAnsi" w:cstheme="majorHAnsi"/>
        </w:rPr>
        <w:t xml:space="preserve">bylo připravováno obnovení platformy sdílené podpory podnikání (tzv. Tým Česko) </w:t>
      </w:r>
      <w:r w:rsidR="00BA48DD" w:rsidRPr="00E32DC7">
        <w:rPr>
          <w:bCs/>
        </w:rPr>
        <w:t>jako základu pro proexportní ekosystém, ve kterém dojde k</w:t>
      </w:r>
      <w:r w:rsidR="000F25DC">
        <w:rPr>
          <w:bCs/>
        </w:rPr>
        <w:t> </w:t>
      </w:r>
      <w:r w:rsidR="00BA48DD" w:rsidRPr="00E32DC7">
        <w:rPr>
          <w:bCs/>
        </w:rPr>
        <w:t>procesnímu a</w:t>
      </w:r>
      <w:r w:rsidR="000F25DC">
        <w:rPr>
          <w:bCs/>
        </w:rPr>
        <w:t> </w:t>
      </w:r>
      <w:r w:rsidR="00BA48DD" w:rsidRPr="00E32DC7">
        <w:rPr>
          <w:bCs/>
        </w:rPr>
        <w:t>systémovému propojení jednotlivých aktérů poskytujících navazující služby státu od podpory inovací, realizace nápadů, přes rozvoj podnikání a</w:t>
      </w:r>
      <w:r w:rsidR="000F25DC">
        <w:rPr>
          <w:bCs/>
        </w:rPr>
        <w:t> </w:t>
      </w:r>
      <w:r w:rsidR="00BA48DD" w:rsidRPr="00E32DC7">
        <w:rPr>
          <w:bCs/>
        </w:rPr>
        <w:t>financování až k</w:t>
      </w:r>
      <w:r w:rsidR="000F25DC">
        <w:rPr>
          <w:bCs/>
        </w:rPr>
        <w:t> </w:t>
      </w:r>
      <w:r w:rsidR="00BA48DD" w:rsidRPr="00E32DC7">
        <w:rPr>
          <w:bCs/>
        </w:rPr>
        <w:t>podpoře exportu a</w:t>
      </w:r>
      <w:r w:rsidR="000F25DC">
        <w:rPr>
          <w:bCs/>
        </w:rPr>
        <w:t> </w:t>
      </w:r>
      <w:r w:rsidR="00BA48DD" w:rsidRPr="00E32DC7">
        <w:rPr>
          <w:bCs/>
        </w:rPr>
        <w:t>internacionalizace společností. Odsouhlasený harmonogram počítá v</w:t>
      </w:r>
      <w:r w:rsidR="000F25DC">
        <w:rPr>
          <w:bCs/>
        </w:rPr>
        <w:t> </w:t>
      </w:r>
      <w:r w:rsidR="00BA48DD" w:rsidRPr="00E32DC7">
        <w:rPr>
          <w:bCs/>
        </w:rPr>
        <w:t>roce 2024 s</w:t>
      </w:r>
      <w:r w:rsidR="000F25DC">
        <w:rPr>
          <w:bCs/>
        </w:rPr>
        <w:t> </w:t>
      </w:r>
      <w:r w:rsidR="00BA48DD" w:rsidRPr="00E32DC7">
        <w:rPr>
          <w:bCs/>
        </w:rPr>
        <w:t>určením koordinačních manažerů</w:t>
      </w:r>
      <w:r w:rsidR="0016059B">
        <w:rPr>
          <w:bCs/>
        </w:rPr>
        <w:t>. Dalšími kroky jsou</w:t>
      </w:r>
      <w:r w:rsidR="00BA48DD" w:rsidRPr="00E32DC7">
        <w:rPr>
          <w:bCs/>
        </w:rPr>
        <w:t xml:space="preserve"> vytvoření digitálního katalogu služeb a</w:t>
      </w:r>
      <w:r w:rsidR="000F25DC">
        <w:rPr>
          <w:bCs/>
        </w:rPr>
        <w:t> </w:t>
      </w:r>
      <w:r w:rsidR="00BA48DD" w:rsidRPr="00E32DC7">
        <w:rPr>
          <w:bCs/>
        </w:rPr>
        <w:t>zahájení prací na nastavení vhodného CRM systému pro sdílení, předávání informací o</w:t>
      </w:r>
      <w:r w:rsidR="000F25DC">
        <w:rPr>
          <w:bCs/>
        </w:rPr>
        <w:t> </w:t>
      </w:r>
      <w:r w:rsidR="00BA48DD" w:rsidRPr="00E32DC7">
        <w:rPr>
          <w:bCs/>
        </w:rPr>
        <w:t xml:space="preserve">firmách/klientech, včetně případné procesní podpory vytváření nabídek služeb. </w:t>
      </w:r>
    </w:p>
    <w:p w14:paraId="01ADAE1B" w14:textId="4EDB5B53" w:rsidR="00186954" w:rsidRPr="00E32DC7" w:rsidRDefault="00186954" w:rsidP="000A2337">
      <w:pPr>
        <w:pStyle w:val="Nadpis2"/>
      </w:pPr>
      <w:bookmarkStart w:id="54" w:name="_Toc169181861"/>
      <w:r w:rsidRPr="00E32DC7">
        <w:t>Rozvoj Jednotné zahraniční sítě</w:t>
      </w:r>
      <w:bookmarkEnd w:id="54"/>
      <w:r w:rsidR="004D6A2E" w:rsidRPr="00E32DC7">
        <w:t xml:space="preserve"> </w:t>
      </w:r>
    </w:p>
    <w:p w14:paraId="01982F19" w14:textId="54CD2C74" w:rsidR="0076445E" w:rsidRDefault="00A91590" w:rsidP="00BA48DD">
      <w:pPr>
        <w:pStyle w:val="Bezmezer"/>
        <w:jc w:val="both"/>
      </w:pPr>
      <w:r>
        <w:t>R</w:t>
      </w:r>
      <w:r w:rsidR="00797F74" w:rsidRPr="00E32DC7">
        <w:t xml:space="preserve">ozvoj </w:t>
      </w:r>
      <w:r w:rsidR="00783D7D" w:rsidRPr="00E32DC7">
        <w:t>Jednotn</w:t>
      </w:r>
      <w:r w:rsidR="00797F74" w:rsidRPr="00E32DC7">
        <w:t>é</w:t>
      </w:r>
      <w:r w:rsidR="00783D7D" w:rsidRPr="00E32DC7">
        <w:t xml:space="preserve"> zahraniční sí</w:t>
      </w:r>
      <w:r w:rsidR="00797F74" w:rsidRPr="00E32DC7">
        <w:t>tě,</w:t>
      </w:r>
      <w:r w:rsidR="00783D7D" w:rsidRPr="00E32DC7">
        <w:t xml:space="preserve"> sestávající ze zastupitelských úřadů ČR, zahraničních kanceláří (ZK) agentury CzechTrade, zemědělských a</w:t>
      </w:r>
      <w:r w:rsidR="000F25DC">
        <w:t> </w:t>
      </w:r>
      <w:r w:rsidR="00783D7D" w:rsidRPr="00E32DC7">
        <w:t>případně dalších ekonomicky specializovaných diplomatů</w:t>
      </w:r>
      <w:r>
        <w:t xml:space="preserve"> se</w:t>
      </w:r>
      <w:r w:rsidR="00C63291" w:rsidRPr="00E32DC7">
        <w:t xml:space="preserve"> v</w:t>
      </w:r>
      <w:r w:rsidR="000F25DC">
        <w:t> </w:t>
      </w:r>
      <w:r w:rsidR="00C63291" w:rsidRPr="00E32DC7">
        <w:t>roce 2023</w:t>
      </w:r>
      <w:r>
        <w:t xml:space="preserve"> zaměřoval především na síť zahraničních kanceláří CzechTrade. </w:t>
      </w:r>
      <w:r w:rsidR="00C63291" w:rsidRPr="00E32DC7">
        <w:t xml:space="preserve"> </w:t>
      </w:r>
      <w:r>
        <w:t>Byla otevřena</w:t>
      </w:r>
      <w:r w:rsidR="00C63291" w:rsidRPr="00E32DC7">
        <w:t xml:space="preserve"> nov</w:t>
      </w:r>
      <w:r>
        <w:t>á</w:t>
      </w:r>
      <w:r w:rsidR="00C63291" w:rsidRPr="00E32DC7">
        <w:t xml:space="preserve"> </w:t>
      </w:r>
      <w:r w:rsidR="00783D7D" w:rsidRPr="00E32DC7">
        <w:t xml:space="preserve">ZK </w:t>
      </w:r>
      <w:r w:rsidR="00C63291" w:rsidRPr="00E32DC7">
        <w:t>C</w:t>
      </w:r>
      <w:r w:rsidR="00783D7D" w:rsidRPr="00E32DC7">
        <w:t>zechTrade</w:t>
      </w:r>
      <w:r w:rsidR="00CC70BD" w:rsidRPr="00E32DC7">
        <w:t xml:space="preserve"> </w:t>
      </w:r>
      <w:r w:rsidR="00EE3E59" w:rsidRPr="00E32DC7">
        <w:t>v</w:t>
      </w:r>
      <w:r w:rsidR="000F25DC">
        <w:t> </w:t>
      </w:r>
      <w:r w:rsidR="00CC70BD" w:rsidRPr="00E32DC7">
        <w:t>Mnichově</w:t>
      </w:r>
      <w:r w:rsidR="00EE3E59" w:rsidRPr="00E32DC7">
        <w:t xml:space="preserve"> (</w:t>
      </w:r>
      <w:r w:rsidR="00CC70BD" w:rsidRPr="00E32DC7">
        <w:t>Německ</w:t>
      </w:r>
      <w:r w:rsidR="00EE3E59" w:rsidRPr="00E32DC7">
        <w:t>o)</w:t>
      </w:r>
      <w:r w:rsidR="00CC70BD" w:rsidRPr="00E32DC7">
        <w:t xml:space="preserve"> </w:t>
      </w:r>
      <w:r w:rsidR="00EE3E59" w:rsidRPr="00E32DC7">
        <w:t>a</w:t>
      </w:r>
      <w:r w:rsidR="000F25DC">
        <w:t> </w:t>
      </w:r>
      <w:r w:rsidR="00783D7D" w:rsidRPr="00E32DC7">
        <w:t>v</w:t>
      </w:r>
      <w:r w:rsidR="00CC70BD" w:rsidRPr="00E32DC7">
        <w:t> </w:t>
      </w:r>
      <w:r w:rsidR="00783D7D" w:rsidRPr="00E32DC7">
        <w:t xml:space="preserve">Manile </w:t>
      </w:r>
      <w:r w:rsidR="00EE3E59" w:rsidRPr="00E32DC7">
        <w:t>(</w:t>
      </w:r>
      <w:r w:rsidR="00783D7D" w:rsidRPr="00E32DC7">
        <w:t>Filipín</w:t>
      </w:r>
      <w:r w:rsidR="00EE3E59" w:rsidRPr="00E32DC7">
        <w:t>y)</w:t>
      </w:r>
      <w:r w:rsidR="008050FC" w:rsidRPr="00E32DC7">
        <w:t> </w:t>
      </w:r>
      <w:r w:rsidR="00C63291" w:rsidRPr="00E32DC7">
        <w:t>a</w:t>
      </w:r>
      <w:r w:rsidR="000F25DC">
        <w:t> </w:t>
      </w:r>
      <w:r w:rsidR="00C63291" w:rsidRPr="00E32DC7">
        <w:t>v</w:t>
      </w:r>
      <w:r w:rsidR="00797F74" w:rsidRPr="00E32DC7">
        <w:t xml:space="preserve">ytvořen plán </w:t>
      </w:r>
      <w:r>
        <w:t xml:space="preserve">pro </w:t>
      </w:r>
      <w:r w:rsidR="00611D3F" w:rsidRPr="00E32DC7">
        <w:t>rozš</w:t>
      </w:r>
      <w:r>
        <w:t>i</w:t>
      </w:r>
      <w:r w:rsidR="00611D3F" w:rsidRPr="00E32DC7">
        <w:t>ř</w:t>
      </w:r>
      <w:r>
        <w:t>ování</w:t>
      </w:r>
      <w:r w:rsidR="00611D3F" w:rsidRPr="00E32DC7">
        <w:t xml:space="preserve"> Sítě v</w:t>
      </w:r>
      <w:r w:rsidR="000F25DC">
        <w:t> </w:t>
      </w:r>
      <w:r w:rsidR="0076445E">
        <w:t>dalších letech</w:t>
      </w:r>
      <w:r w:rsidR="00797F74" w:rsidRPr="00E32DC7">
        <w:t xml:space="preserve"> s</w:t>
      </w:r>
      <w:r w:rsidR="000F25DC">
        <w:t> </w:t>
      </w:r>
      <w:r w:rsidR="00797F74" w:rsidRPr="00E32DC7">
        <w:t>důrazem na posilování zastoupení mi</w:t>
      </w:r>
      <w:r w:rsidR="006E6000" w:rsidRPr="00E32DC7">
        <w:t>mo</w:t>
      </w:r>
      <w:r w:rsidR="00797F74" w:rsidRPr="00E32DC7">
        <w:t xml:space="preserve"> Evropu.</w:t>
      </w:r>
      <w:r w:rsidR="0076445E">
        <w:t xml:space="preserve"> K</w:t>
      </w:r>
      <w:r w:rsidR="00797F74" w:rsidRPr="00E32DC7">
        <w:t>onkrétně</w:t>
      </w:r>
      <w:r w:rsidR="0076445E">
        <w:t xml:space="preserve"> se jedná</w:t>
      </w:r>
      <w:r w:rsidR="00797F74" w:rsidRPr="00E32DC7">
        <w:t xml:space="preserve"> </w:t>
      </w:r>
      <w:r w:rsidR="0076445E">
        <w:t>v</w:t>
      </w:r>
      <w:r w:rsidR="000F25DC">
        <w:t> </w:t>
      </w:r>
      <w:r w:rsidR="0076445E">
        <w:t xml:space="preserve">roce 2024 </w:t>
      </w:r>
      <w:r w:rsidR="00797F74" w:rsidRPr="00E32DC7">
        <w:t>o</w:t>
      </w:r>
      <w:r w:rsidR="000F25DC">
        <w:t> </w:t>
      </w:r>
      <w:r w:rsidR="00C70109" w:rsidRPr="00E32DC7">
        <w:t>otevření nových</w:t>
      </w:r>
      <w:r w:rsidR="00C94123" w:rsidRPr="00E32DC7">
        <w:t> </w:t>
      </w:r>
      <w:r w:rsidR="00797F74" w:rsidRPr="00E32DC7">
        <w:t>Z</w:t>
      </w:r>
      <w:r w:rsidR="00783D7D" w:rsidRPr="00E32DC7">
        <w:t>K</w:t>
      </w:r>
      <w:r w:rsidR="001E76DA" w:rsidRPr="00E32DC7">
        <w:t xml:space="preserve"> CzechTrade</w:t>
      </w:r>
      <w:r w:rsidR="00797F74" w:rsidRPr="00E32DC7">
        <w:t xml:space="preserve"> v</w:t>
      </w:r>
      <w:r w:rsidR="000F25DC">
        <w:t> </w:t>
      </w:r>
      <w:r w:rsidR="00783D7D" w:rsidRPr="00E32DC7">
        <w:t>Rijádu</w:t>
      </w:r>
      <w:r w:rsidR="00797F74" w:rsidRPr="00E32DC7">
        <w:t xml:space="preserve"> (</w:t>
      </w:r>
      <w:r w:rsidR="00783D7D" w:rsidRPr="00E32DC7">
        <w:t>Saudsk</w:t>
      </w:r>
      <w:r w:rsidR="00797F74" w:rsidRPr="00E32DC7">
        <w:t xml:space="preserve">á </w:t>
      </w:r>
      <w:r w:rsidR="00CC70BD" w:rsidRPr="00E32DC7">
        <w:t>Arábi</w:t>
      </w:r>
      <w:r w:rsidR="00797F74" w:rsidRPr="00E32DC7">
        <w:t>e)</w:t>
      </w:r>
      <w:r w:rsidR="00CC70BD" w:rsidRPr="00E32DC7">
        <w:t>, Ósace</w:t>
      </w:r>
      <w:r w:rsidR="00797F74" w:rsidRPr="00E32DC7">
        <w:t xml:space="preserve"> (Japonsko), </w:t>
      </w:r>
      <w:r w:rsidR="00783D7D" w:rsidRPr="00E32DC7">
        <w:t>Taškentu</w:t>
      </w:r>
      <w:r w:rsidR="00CC70BD" w:rsidRPr="00E32DC7">
        <w:t xml:space="preserve"> </w:t>
      </w:r>
      <w:r w:rsidR="00797F74" w:rsidRPr="00E32DC7">
        <w:t>(</w:t>
      </w:r>
      <w:r w:rsidR="00783D7D" w:rsidRPr="00E32DC7">
        <w:t>Uzbekistán</w:t>
      </w:r>
      <w:r w:rsidR="00797F74" w:rsidRPr="00E32DC7">
        <w:t>)</w:t>
      </w:r>
      <w:r w:rsidR="00783D7D" w:rsidRPr="00E32DC7">
        <w:t xml:space="preserve">, Soulu </w:t>
      </w:r>
      <w:r w:rsidR="00797F74" w:rsidRPr="00E32DC7">
        <w:t>(Jižní Korea)</w:t>
      </w:r>
      <w:r w:rsidR="001E76DA" w:rsidRPr="00E32DC7">
        <w:t>,</w:t>
      </w:r>
      <w:r w:rsidR="002206A1">
        <w:t xml:space="preserve"> San Francisc</w:t>
      </w:r>
      <w:r w:rsidR="002C0623">
        <w:t>u</w:t>
      </w:r>
      <w:r w:rsidR="002206A1">
        <w:t xml:space="preserve"> (USA),</w:t>
      </w:r>
      <w:r w:rsidR="001E76DA" w:rsidRPr="00E32DC7">
        <w:t xml:space="preserve"> </w:t>
      </w:r>
      <w:r w:rsidR="00CC70BD" w:rsidRPr="00E32DC7">
        <w:t>San José</w:t>
      </w:r>
      <w:r w:rsidR="00797F74" w:rsidRPr="00E32DC7">
        <w:t xml:space="preserve"> (Kostarika)</w:t>
      </w:r>
      <w:r w:rsidR="000961B8">
        <w:t>. V</w:t>
      </w:r>
      <w:r w:rsidR="000F25DC">
        <w:t> </w:t>
      </w:r>
      <w:r w:rsidR="000961B8">
        <w:t>letech 2025 a</w:t>
      </w:r>
      <w:r w:rsidR="000F25DC">
        <w:t> </w:t>
      </w:r>
      <w:r w:rsidR="000961B8">
        <w:t>2026 by mělo dojít k</w:t>
      </w:r>
      <w:r w:rsidR="000F25DC">
        <w:t> </w:t>
      </w:r>
      <w:r w:rsidR="000961B8">
        <w:t xml:space="preserve">otevření dalších </w:t>
      </w:r>
      <w:r w:rsidR="00EE64CE">
        <w:t>dvou</w:t>
      </w:r>
      <w:r w:rsidR="000961B8">
        <w:t xml:space="preserve"> ZK s</w:t>
      </w:r>
      <w:r w:rsidR="000F25DC">
        <w:t> </w:t>
      </w:r>
      <w:r w:rsidR="000961B8">
        <w:t>předpokládaným umístěním v</w:t>
      </w:r>
      <w:r w:rsidR="000F25DC">
        <w:t> </w:t>
      </w:r>
      <w:r w:rsidR="002206A1">
        <w:t>j</w:t>
      </w:r>
      <w:r w:rsidR="000961B8">
        <w:t>ihovýchodní Asii (Malajsie) a</w:t>
      </w:r>
      <w:r w:rsidR="000F25DC">
        <w:t> </w:t>
      </w:r>
      <w:r w:rsidR="000961B8">
        <w:t xml:space="preserve">v některé ze zemí </w:t>
      </w:r>
      <w:r w:rsidR="002206A1">
        <w:t>s</w:t>
      </w:r>
      <w:r w:rsidR="000961B8">
        <w:t>ubsaharské Afriky.</w:t>
      </w:r>
      <w:r w:rsidR="002206A1">
        <w:t xml:space="preserve"> </w:t>
      </w:r>
      <w:r w:rsidR="000961B8" w:rsidRPr="002206A1">
        <w:t xml:space="preserve">Vedle toho na začátku roku 2024 zahájilo činnost </w:t>
      </w:r>
      <w:r w:rsidR="0076445E" w:rsidRPr="002206A1">
        <w:t xml:space="preserve">zahraniční zastoupení </w:t>
      </w:r>
      <w:r w:rsidR="000961B8" w:rsidRPr="002206A1">
        <w:t xml:space="preserve">agentury </w:t>
      </w:r>
      <w:r w:rsidR="0076445E" w:rsidRPr="002206A1">
        <w:t>CzechInvest v</w:t>
      </w:r>
      <w:r w:rsidR="000F25DC">
        <w:t> </w:t>
      </w:r>
      <w:r w:rsidR="0076445E" w:rsidRPr="002206A1">
        <w:t>Tchaj-peji (Tchaj-wan)</w:t>
      </w:r>
      <w:r w:rsidR="000961B8" w:rsidRPr="002206A1">
        <w:t>.</w:t>
      </w:r>
      <w:r w:rsidR="000961B8">
        <w:t xml:space="preserve"> </w:t>
      </w:r>
    </w:p>
    <w:p w14:paraId="7200846C" w14:textId="50C7B8BC" w:rsidR="002C0623" w:rsidRDefault="006823FC" w:rsidP="00BA48DD">
      <w:pPr>
        <w:pStyle w:val="Bezmezer"/>
        <w:jc w:val="both"/>
      </w:pPr>
      <w:r>
        <w:t>I přes dopady rozpočtových škrtů je snahou udržovat s</w:t>
      </w:r>
      <w:r w:rsidR="002C0623">
        <w:t>íť e</w:t>
      </w:r>
      <w:r w:rsidR="002C0623" w:rsidRPr="002C0623">
        <w:t xml:space="preserve">konomických diplomatů </w:t>
      </w:r>
      <w:r w:rsidR="00144477">
        <w:t>v</w:t>
      </w:r>
      <w:r w:rsidR="00EE64CE">
        <w:t> současné kapacitní podobě</w:t>
      </w:r>
      <w:r w:rsidR="00613593">
        <w:t xml:space="preserve">, </w:t>
      </w:r>
      <w:r w:rsidR="002C0623" w:rsidRPr="002C0623">
        <w:t>a</w:t>
      </w:r>
      <w:r w:rsidR="000F25DC">
        <w:t> </w:t>
      </w:r>
      <w:r w:rsidR="002C0623" w:rsidRPr="002C0623">
        <w:t xml:space="preserve">to </w:t>
      </w:r>
      <w:r>
        <w:t xml:space="preserve">především </w:t>
      </w:r>
      <w:r w:rsidR="00EE64CE">
        <w:t xml:space="preserve">s důrazem na zachování pozic ekonomických </w:t>
      </w:r>
      <w:r>
        <w:t xml:space="preserve">diplomatů </w:t>
      </w:r>
      <w:r w:rsidR="002C0623" w:rsidRPr="002C0623">
        <w:t>v</w:t>
      </w:r>
      <w:r w:rsidR="000F25DC">
        <w:t> </w:t>
      </w:r>
      <w:r w:rsidR="002C0623" w:rsidRPr="002C0623">
        <w:t>zemích mimo EU</w:t>
      </w:r>
      <w:r>
        <w:t>.</w:t>
      </w:r>
      <w:r w:rsidR="002C0623" w:rsidRPr="002C0623">
        <w:t xml:space="preserve"> </w:t>
      </w:r>
    </w:p>
    <w:p w14:paraId="4C0350D9" w14:textId="4A9B6EEB" w:rsidR="00C63291" w:rsidRPr="00E32DC7" w:rsidRDefault="00C63291" w:rsidP="00BA48DD">
      <w:pPr>
        <w:pStyle w:val="Bezmezer"/>
        <w:jc w:val="both"/>
      </w:pPr>
      <w:r w:rsidRPr="00E32DC7">
        <w:t>Změny v</w:t>
      </w:r>
      <w:r w:rsidR="000F25DC">
        <w:t> </w:t>
      </w:r>
      <w:r w:rsidRPr="00E32DC7">
        <w:t>síti zemědělských diplomatů během roku 2023 reflektovaly geopolitický vývoj, když neobsazená pozice v</w:t>
      </w:r>
      <w:r w:rsidR="000F25DC">
        <w:t> </w:t>
      </w:r>
      <w:r w:rsidRPr="00E32DC7">
        <w:t>Moskvě byla přesunuta do Kanady a</w:t>
      </w:r>
      <w:r w:rsidR="000F25DC">
        <w:t> </w:t>
      </w:r>
      <w:r w:rsidRPr="00E32DC7">
        <w:t>pozice v</w:t>
      </w:r>
      <w:r w:rsidR="000F25DC">
        <w:t> </w:t>
      </w:r>
      <w:r w:rsidRPr="00E32DC7">
        <w:t xml:space="preserve">Libanonu na Ukrajinu. </w:t>
      </w:r>
      <w:r w:rsidRPr="00E32DC7">
        <w:rPr>
          <w:rFonts w:asciiTheme="majorHAnsi" w:hAnsiTheme="majorHAnsi" w:cstheme="majorHAnsi"/>
        </w:rPr>
        <w:t>Celkově tak ke konci roku 2023 existovalo sedm pozic zemědělských diplomatů, a</w:t>
      </w:r>
      <w:r w:rsidR="000F25DC">
        <w:rPr>
          <w:rFonts w:asciiTheme="majorHAnsi" w:hAnsiTheme="majorHAnsi" w:cstheme="majorHAnsi"/>
        </w:rPr>
        <w:t> </w:t>
      </w:r>
      <w:r w:rsidRPr="00E32DC7">
        <w:rPr>
          <w:rFonts w:asciiTheme="majorHAnsi" w:hAnsiTheme="majorHAnsi" w:cstheme="majorHAnsi"/>
        </w:rPr>
        <w:t>to v</w:t>
      </w:r>
      <w:r w:rsidR="000F25DC">
        <w:rPr>
          <w:rFonts w:asciiTheme="majorHAnsi" w:hAnsiTheme="majorHAnsi" w:cstheme="majorHAnsi"/>
        </w:rPr>
        <w:t> </w:t>
      </w:r>
      <w:r w:rsidRPr="00E32DC7">
        <w:rPr>
          <w:rFonts w:asciiTheme="majorHAnsi" w:hAnsiTheme="majorHAnsi" w:cstheme="majorHAnsi"/>
        </w:rPr>
        <w:t>Abú Dhabí (SAE), Bělehradě (Srbsko), Kyjevě (Ukrajina), Ottawě (Kanada), Pekingu (Čína), Tokiu (Japonsko) a</w:t>
      </w:r>
      <w:r w:rsidR="000F25DC">
        <w:rPr>
          <w:rFonts w:asciiTheme="majorHAnsi" w:hAnsiTheme="majorHAnsi" w:cstheme="majorHAnsi"/>
        </w:rPr>
        <w:t> </w:t>
      </w:r>
      <w:r w:rsidRPr="00E32DC7">
        <w:rPr>
          <w:rFonts w:asciiTheme="majorHAnsi" w:hAnsiTheme="majorHAnsi" w:cstheme="majorHAnsi"/>
        </w:rPr>
        <w:t>Washingtonu (USA)</w:t>
      </w:r>
      <w:r w:rsidR="001060EC">
        <w:rPr>
          <w:rFonts w:asciiTheme="majorHAnsi" w:hAnsiTheme="majorHAnsi" w:cstheme="majorHAnsi"/>
        </w:rPr>
        <w:t>, přičemž se rozšiřuje využití tzv. místních zemědělských sil</w:t>
      </w:r>
      <w:r w:rsidRPr="00E32DC7">
        <w:rPr>
          <w:rFonts w:asciiTheme="majorHAnsi" w:hAnsiTheme="majorHAnsi" w:cstheme="majorHAnsi"/>
        </w:rPr>
        <w:t xml:space="preserve">. </w:t>
      </w:r>
    </w:p>
    <w:p w14:paraId="3A296507" w14:textId="1906D260" w:rsidR="00144477" w:rsidRPr="00E32DC7" w:rsidRDefault="00144477" w:rsidP="00BA48DD">
      <w:pPr>
        <w:pStyle w:val="Bezmezer"/>
        <w:jc w:val="both"/>
      </w:pPr>
      <w:r>
        <w:t>Do konce roku 2024 bude provedeno periodické vyhodnocení činnosti Sítě s</w:t>
      </w:r>
      <w:r w:rsidR="000F25DC">
        <w:t> </w:t>
      </w:r>
      <w:r>
        <w:t xml:space="preserve">případným návrhem na její </w:t>
      </w:r>
      <w:r w:rsidRPr="00144477">
        <w:t>optimalizac</w:t>
      </w:r>
      <w:r>
        <w:t>i</w:t>
      </w:r>
      <w:r w:rsidRPr="00144477">
        <w:t xml:space="preserve"> (</w:t>
      </w:r>
      <w:r>
        <w:t xml:space="preserve">rozšíření, </w:t>
      </w:r>
      <w:r w:rsidRPr="00144477">
        <w:t>relokace) dle exportních příležitostí a</w:t>
      </w:r>
      <w:r w:rsidR="000F25DC">
        <w:t> </w:t>
      </w:r>
      <w:r w:rsidRPr="00144477">
        <w:t>poptávky po kapacitách.</w:t>
      </w:r>
    </w:p>
    <w:p w14:paraId="23C7ECB8" w14:textId="5DF63C4B" w:rsidR="00186954" w:rsidRPr="00E32DC7" w:rsidRDefault="00186954" w:rsidP="000A2337">
      <w:pPr>
        <w:pStyle w:val="Nadpis2"/>
      </w:pPr>
      <w:bookmarkStart w:id="55" w:name="_Toc169181862"/>
      <w:bookmarkStart w:id="56" w:name="_Hlk168390370"/>
      <w:r w:rsidRPr="00E32DC7">
        <w:t>Zatraktivňovat podmínky pro příchod kvalifikovaných zahr</w:t>
      </w:r>
      <w:r w:rsidR="00442900" w:rsidRPr="00E32DC7">
        <w:t>aničních</w:t>
      </w:r>
      <w:r w:rsidRPr="00E32DC7">
        <w:t xml:space="preserve"> pracovníků</w:t>
      </w:r>
      <w:bookmarkEnd w:id="55"/>
    </w:p>
    <w:p w14:paraId="265771F9" w14:textId="0380E698" w:rsidR="004F35EC" w:rsidRPr="00E32DC7" w:rsidRDefault="004F35EC" w:rsidP="004F35EC">
      <w:pPr>
        <w:pStyle w:val="Bezmezer"/>
        <w:jc w:val="both"/>
      </w:pPr>
      <w:r w:rsidRPr="00E32DC7">
        <w:rPr>
          <w:rFonts w:cstheme="minorHAnsi"/>
        </w:rPr>
        <w:t>V roce 2023 aktivity programů ekonomické migrace reflektovaly vývoj stavu nezaměstnanosti v</w:t>
      </w:r>
      <w:r w:rsidR="000F25DC">
        <w:rPr>
          <w:rFonts w:cstheme="minorHAnsi"/>
        </w:rPr>
        <w:t> </w:t>
      </w:r>
      <w:r w:rsidRPr="00E32DC7">
        <w:rPr>
          <w:rFonts w:cstheme="minorHAnsi"/>
        </w:rPr>
        <w:t>ČR a</w:t>
      </w:r>
      <w:r w:rsidR="000F25DC">
        <w:rPr>
          <w:rFonts w:cstheme="minorHAnsi"/>
        </w:rPr>
        <w:t> </w:t>
      </w:r>
      <w:r w:rsidRPr="00E32DC7">
        <w:rPr>
          <w:rFonts w:cstheme="minorHAnsi"/>
        </w:rPr>
        <w:t>modifikovaly parametry dle aktuální situace (požadavky firem, kapacity systému, migrační politika).</w:t>
      </w:r>
      <w:r w:rsidRPr="00E32DC7">
        <w:t xml:space="preserve"> Řídící výbor stanovil následující krátkodobé úkoly, z</w:t>
      </w:r>
      <w:r w:rsidR="000F25DC">
        <w:t> </w:t>
      </w:r>
      <w:r w:rsidRPr="00E32DC7">
        <w:t>nichž všechny byly následně zrealizovány:</w:t>
      </w:r>
    </w:p>
    <w:p w14:paraId="03BC241E" w14:textId="3E7B70F5" w:rsidR="004F35EC" w:rsidRPr="00E32DC7" w:rsidRDefault="004F35EC" w:rsidP="000E397E">
      <w:pPr>
        <w:pStyle w:val="Bezmezer"/>
        <w:numPr>
          <w:ilvl w:val="0"/>
          <w:numId w:val="13"/>
        </w:numPr>
        <w:jc w:val="both"/>
      </w:pPr>
      <w:r w:rsidRPr="00E32DC7">
        <w:t>Navýšení kvót v</w:t>
      </w:r>
      <w:r w:rsidR="000F25DC">
        <w:t> </w:t>
      </w:r>
      <w:r w:rsidRPr="00E32DC7">
        <w:t>rámci vládních programů ekonomické migrace pro vysoce kvalifikované zaměstnance o</w:t>
      </w:r>
      <w:r w:rsidR="000F25DC">
        <w:t> </w:t>
      </w:r>
      <w:r w:rsidRPr="00E32DC7">
        <w:t>1 750 žádostí ročně.</w:t>
      </w:r>
    </w:p>
    <w:p w14:paraId="63C25163" w14:textId="2F414710" w:rsidR="004F35EC" w:rsidRPr="00E32DC7" w:rsidRDefault="004F35EC" w:rsidP="000E397E">
      <w:pPr>
        <w:pStyle w:val="Bezmezer"/>
        <w:numPr>
          <w:ilvl w:val="0"/>
          <w:numId w:val="13"/>
        </w:numPr>
        <w:jc w:val="both"/>
      </w:pPr>
      <w:r w:rsidRPr="00E32DC7">
        <w:lastRenderedPageBreak/>
        <w:t>Znovuobnovení fungování všech vládních programů pro pracovníky z</w:t>
      </w:r>
      <w:r w:rsidR="000F25DC">
        <w:t> </w:t>
      </w:r>
      <w:r w:rsidRPr="00E32DC7">
        <w:t>Ukrajiny s</w:t>
      </w:r>
      <w:r w:rsidR="000F25DC">
        <w:t> </w:t>
      </w:r>
      <w:r w:rsidRPr="00E32DC7">
        <w:t>aktuální kapacitou 13 100 žádostí ročně.</w:t>
      </w:r>
    </w:p>
    <w:p w14:paraId="30B92F8A" w14:textId="1E55320C" w:rsidR="004F35EC" w:rsidRPr="00E32DC7" w:rsidRDefault="004F35EC" w:rsidP="000E397E">
      <w:pPr>
        <w:pStyle w:val="Bezmezer"/>
        <w:numPr>
          <w:ilvl w:val="0"/>
          <w:numId w:val="13"/>
        </w:numPr>
        <w:jc w:val="both"/>
      </w:pPr>
      <w:r w:rsidRPr="00E32DC7">
        <w:t>Navýšení kvót v</w:t>
      </w:r>
      <w:r w:rsidR="000F25DC">
        <w:t> </w:t>
      </w:r>
      <w:r w:rsidRPr="00E32DC7">
        <w:t>rámci Programu kvalifikovaný zaměstnanec pro pracovníky z</w:t>
      </w:r>
      <w:r w:rsidR="000F25DC">
        <w:t> </w:t>
      </w:r>
      <w:r w:rsidRPr="00E32DC7">
        <w:t>Filipín o</w:t>
      </w:r>
      <w:r w:rsidR="000F25DC">
        <w:t> </w:t>
      </w:r>
      <w:r w:rsidRPr="00E32DC7">
        <w:t>5 000 (celkem 10 300 žádostí) a</w:t>
      </w:r>
      <w:r w:rsidR="000F25DC">
        <w:t> </w:t>
      </w:r>
      <w:r w:rsidRPr="00E32DC7">
        <w:t>Mongolska o</w:t>
      </w:r>
      <w:r w:rsidR="000F25DC">
        <w:t> </w:t>
      </w:r>
      <w:r w:rsidRPr="00E32DC7">
        <w:t>2 000 žádostí ročně (celkem 3 170 žádostí).</w:t>
      </w:r>
    </w:p>
    <w:p w14:paraId="4B617C2D" w14:textId="0E5FAEE5" w:rsidR="004F35EC" w:rsidRPr="00E32DC7" w:rsidRDefault="004F35EC" w:rsidP="001446F4">
      <w:pPr>
        <w:pStyle w:val="Bezmezer"/>
        <w:numPr>
          <w:ilvl w:val="0"/>
          <w:numId w:val="13"/>
        </w:numPr>
        <w:spacing w:after="60"/>
        <w:ind w:left="357" w:hanging="357"/>
        <w:jc w:val="both"/>
      </w:pPr>
      <w:r w:rsidRPr="00E32DC7">
        <w:t>Obnovení fungování Programu mimořádné pracovní vízum pro státní příslušníky některých států pracujících v</w:t>
      </w:r>
      <w:r w:rsidR="000F25DC">
        <w:t> </w:t>
      </w:r>
      <w:r w:rsidRPr="00E32DC7">
        <w:t>zemědělství, potravinářství nebo lesnictví a</w:t>
      </w:r>
      <w:r w:rsidR="000F25DC">
        <w:t> </w:t>
      </w:r>
      <w:r w:rsidRPr="00E32DC7">
        <w:t>jeho rozšíření jeho působnosti vedle Ukrajiny také na Arménii, Bosnu a</w:t>
      </w:r>
      <w:r w:rsidR="000F25DC">
        <w:t> </w:t>
      </w:r>
      <w:r w:rsidRPr="00E32DC7">
        <w:t>Hercegovinu, Gruzii, S. Makedonii s</w:t>
      </w:r>
      <w:r w:rsidR="000F25DC">
        <w:t> </w:t>
      </w:r>
      <w:r w:rsidRPr="00E32DC7">
        <w:t xml:space="preserve">kapacitou 2 500 žádostí ročně. </w:t>
      </w:r>
    </w:p>
    <w:p w14:paraId="7325A14E" w14:textId="21129252" w:rsidR="0017085E" w:rsidRPr="00E32DC7" w:rsidRDefault="004F35EC" w:rsidP="00BF5FAA">
      <w:pPr>
        <w:pStyle w:val="Bezmezer"/>
        <w:jc w:val="both"/>
      </w:pPr>
      <w:r w:rsidRPr="00E32DC7">
        <w:t>Současně byl připraven nový vládní program určený pro klíčové české zaměstnavatele a</w:t>
      </w:r>
      <w:r w:rsidR="000F25DC">
        <w:t> </w:t>
      </w:r>
      <w:r w:rsidRPr="00E32DC7">
        <w:t>státní příslušníky Indonésie s</w:t>
      </w:r>
      <w:r w:rsidR="000F25DC">
        <w:t> </w:t>
      </w:r>
      <w:r w:rsidRPr="00E32DC7">
        <w:t>kapacitou 1 000 žádostí ročně a</w:t>
      </w:r>
      <w:r w:rsidR="000F25DC">
        <w:t> </w:t>
      </w:r>
      <w:r w:rsidRPr="00E32DC7">
        <w:t>byla spuštěna (k 1.</w:t>
      </w:r>
      <w:r w:rsidR="000742E8" w:rsidRPr="00E32DC7">
        <w:t xml:space="preserve"> </w:t>
      </w:r>
      <w:r w:rsidRPr="00E32DC7">
        <w:t>5. 2024) nová služba Podpora ekonomické migraci ve spolupráci s</w:t>
      </w:r>
      <w:r w:rsidR="000F25DC">
        <w:t> </w:t>
      </w:r>
      <w:r w:rsidRPr="00E32DC7">
        <w:t>CzechTrade nabízející zprostředkování spolehlivého kontaktu schopného vytipovat českými firmami požadované pracovníky ve vybraných zdrojových zemích v</w:t>
      </w:r>
      <w:r w:rsidR="000F25DC">
        <w:t> </w:t>
      </w:r>
      <w:r w:rsidRPr="00E32DC7">
        <w:t>rámci Programu kvalifikovaný zaměstnanec (tj. Arménie, Černá Hora, Filipíny, Gruzie, Indie, Kazachstán a</w:t>
      </w:r>
      <w:r w:rsidR="000F25DC">
        <w:t> </w:t>
      </w:r>
      <w:r w:rsidRPr="00E32DC7">
        <w:t>Srbsko). Aktuální novela zákona o</w:t>
      </w:r>
      <w:r w:rsidR="000F25DC">
        <w:t> </w:t>
      </w:r>
      <w:r w:rsidRPr="00E32DC7">
        <w:t>zaměstnanosti pak k</w:t>
      </w:r>
      <w:r w:rsidR="000F25DC">
        <w:t> </w:t>
      </w:r>
      <w:r w:rsidRPr="00E32DC7">
        <w:t>1.</w:t>
      </w:r>
      <w:r w:rsidR="000742E8" w:rsidRPr="00E32DC7">
        <w:t xml:space="preserve"> </w:t>
      </w:r>
      <w:r w:rsidRPr="00E32DC7">
        <w:t>7. 2024 přinese obecně upuštění od testu trhu práce pro žadatele o</w:t>
      </w:r>
      <w:r w:rsidR="000F25DC">
        <w:t> </w:t>
      </w:r>
      <w:r w:rsidRPr="00E32DC7">
        <w:t>zaměstnanecké karty, což opět významně urychlí přístup cizinců na český pracovní trh. Dále bylo připraveno nařízení vlády, které by mělo nabýt účinnosti k</w:t>
      </w:r>
      <w:r w:rsidR="000F25DC">
        <w:t> </w:t>
      </w:r>
      <w:r w:rsidRPr="00E32DC7">
        <w:t>1.</w:t>
      </w:r>
      <w:r w:rsidR="000742E8" w:rsidRPr="00E32DC7">
        <w:t xml:space="preserve"> </w:t>
      </w:r>
      <w:r w:rsidRPr="00E32DC7">
        <w:t>7. 2024 stanovující seznam zemí, jejichž občané nebudou pro výkon práce v</w:t>
      </w:r>
      <w:r w:rsidR="000F25DC">
        <w:t> </w:t>
      </w:r>
      <w:r w:rsidRPr="00E32DC7">
        <w:t>ČR potřebovat povolení k</w:t>
      </w:r>
      <w:r w:rsidR="000F25DC">
        <w:t> </w:t>
      </w:r>
      <w:r w:rsidRPr="00E32DC7">
        <w:t>zaměstnání.</w:t>
      </w:r>
      <w:r w:rsidR="00BF5FAA" w:rsidRPr="00E32DC7">
        <w:t xml:space="preserve"> </w:t>
      </w:r>
    </w:p>
    <w:p w14:paraId="344822F2" w14:textId="75A4BE52" w:rsidR="00825480" w:rsidRPr="00E32DC7" w:rsidRDefault="00186954" w:rsidP="000A2337">
      <w:pPr>
        <w:pStyle w:val="Nadpis2"/>
      </w:pPr>
      <w:bookmarkStart w:id="57" w:name="_Toc169181863"/>
      <w:bookmarkEnd w:id="56"/>
      <w:r w:rsidRPr="00E32DC7">
        <w:t>Informování o</w:t>
      </w:r>
      <w:r w:rsidR="000F25DC">
        <w:t> </w:t>
      </w:r>
      <w:r w:rsidRPr="00E32DC7">
        <w:t>praktických nástrojích EU pro vnitřní trh a</w:t>
      </w:r>
      <w:r w:rsidR="000F25DC">
        <w:t> </w:t>
      </w:r>
      <w:r w:rsidRPr="00E32DC7">
        <w:t>obchodní politiku</w:t>
      </w:r>
      <w:bookmarkEnd w:id="57"/>
    </w:p>
    <w:p w14:paraId="325F801D" w14:textId="0EC68655" w:rsidR="00BB4CDB" w:rsidRPr="006674B5" w:rsidRDefault="003246B8" w:rsidP="00134CD1">
      <w:pPr>
        <w:pStyle w:val="Bezmezer"/>
        <w:jc w:val="both"/>
      </w:pPr>
      <w:r>
        <w:t>Zvyšování</w:t>
      </w:r>
      <w:r w:rsidR="00BB4CDB" w:rsidRPr="006674B5">
        <w:t xml:space="preserve"> informovanost</w:t>
      </w:r>
      <w:r>
        <w:t>i společností</w:t>
      </w:r>
      <w:r w:rsidR="00BB4CDB" w:rsidRPr="006674B5">
        <w:t xml:space="preserve"> o</w:t>
      </w:r>
      <w:r w:rsidR="000F25DC">
        <w:t> </w:t>
      </w:r>
      <w:r w:rsidR="00BB4CDB" w:rsidRPr="006674B5">
        <w:t>existujících nástrojích EU usnadňujících f</w:t>
      </w:r>
      <w:r w:rsidR="00FE6BA2">
        <w:t>u</w:t>
      </w:r>
      <w:r w:rsidR="00BB4CDB" w:rsidRPr="006674B5">
        <w:t>ngování na vnitřním trhu a</w:t>
      </w:r>
      <w:r w:rsidR="000F25DC">
        <w:t> </w:t>
      </w:r>
      <w:r w:rsidR="00BB4CDB" w:rsidRPr="006674B5">
        <w:t>přístup na trhy třetích zemí</w:t>
      </w:r>
      <w:r>
        <w:t xml:space="preserve"> přispívá k</w:t>
      </w:r>
      <w:r w:rsidR="000F25DC">
        <w:t> </w:t>
      </w:r>
      <w:r>
        <w:t xml:space="preserve">posilování </w:t>
      </w:r>
      <w:r w:rsidRPr="006674B5">
        <w:t>zájmu českých společností o</w:t>
      </w:r>
      <w:r w:rsidR="000F25DC">
        <w:t> </w:t>
      </w:r>
      <w:r w:rsidRPr="006674B5">
        <w:t>exportní aktivity a</w:t>
      </w:r>
      <w:r w:rsidR="000F25DC">
        <w:t> </w:t>
      </w:r>
      <w:r w:rsidRPr="006674B5">
        <w:t>usnadnění vstupu na zahraniční trhy</w:t>
      </w:r>
      <w:r>
        <w:t>.</w:t>
      </w:r>
      <w:r w:rsidRPr="006674B5">
        <w:t xml:space="preserve"> </w:t>
      </w:r>
    </w:p>
    <w:p w14:paraId="76ACB29E" w14:textId="64A8241F" w:rsidR="006674B5" w:rsidRDefault="00BB4CDB" w:rsidP="006674B5">
      <w:pPr>
        <w:pStyle w:val="Bezmezer"/>
        <w:jc w:val="both"/>
      </w:pPr>
      <w:r w:rsidRPr="006674B5">
        <w:t>V roce 2023 Ministerstvo průmyslu a</w:t>
      </w:r>
      <w:r w:rsidR="000F25DC">
        <w:t> </w:t>
      </w:r>
      <w:r w:rsidRPr="006674B5">
        <w:t xml:space="preserve">obchodu připravilo </w:t>
      </w:r>
      <w:r w:rsidR="003246B8">
        <w:t xml:space="preserve">pro </w:t>
      </w:r>
      <w:r w:rsidRPr="006674B5">
        <w:t>pilotn</w:t>
      </w:r>
      <w:r w:rsidR="003246B8">
        <w:t>í spuštění</w:t>
      </w:r>
      <w:r w:rsidRPr="006674B5">
        <w:t xml:space="preserve"> </w:t>
      </w:r>
      <w:r w:rsidR="006674B5" w:rsidRPr="006674B5">
        <w:t xml:space="preserve">novou </w:t>
      </w:r>
      <w:r w:rsidRPr="006674B5">
        <w:t>službu Market Access</w:t>
      </w:r>
      <w:r w:rsidR="006674B5" w:rsidRPr="006674B5">
        <w:t xml:space="preserve"> Advisor</w:t>
      </w:r>
      <w:r w:rsidR="003246B8">
        <w:t>.</w:t>
      </w:r>
      <w:r w:rsidR="00B606F4">
        <w:t xml:space="preserve"> </w:t>
      </w:r>
      <w:r w:rsidR="003246B8">
        <w:t>S</w:t>
      </w:r>
      <w:r w:rsidR="00720A08">
        <w:t>pecialist</w:t>
      </w:r>
      <w:r w:rsidR="003246B8">
        <w:t>é</w:t>
      </w:r>
      <w:r w:rsidR="006674B5" w:rsidRPr="006674B5">
        <w:t xml:space="preserve"> MPO</w:t>
      </w:r>
      <w:r w:rsidR="00720A08">
        <w:t xml:space="preserve"> nabízí </w:t>
      </w:r>
      <w:r w:rsidR="003246B8">
        <w:t>zaškolení pro využívání</w:t>
      </w:r>
      <w:r w:rsidR="006674B5">
        <w:t xml:space="preserve"> databáz</w:t>
      </w:r>
      <w:r w:rsidR="003246B8">
        <w:t>e</w:t>
      </w:r>
      <w:r w:rsidR="001D3458">
        <w:t xml:space="preserve"> EU </w:t>
      </w:r>
      <w:r w:rsidR="006674B5">
        <w:t>Access2Markets</w:t>
      </w:r>
      <w:r w:rsidR="006674B5" w:rsidRPr="006674B5">
        <w:t xml:space="preserve"> </w:t>
      </w:r>
      <w:r w:rsidR="00FE6BA2">
        <w:t>a</w:t>
      </w:r>
      <w:r w:rsidR="000F25DC">
        <w:t> </w:t>
      </w:r>
      <w:r w:rsidR="003246B8">
        <w:t>následně i</w:t>
      </w:r>
      <w:r w:rsidR="000F25DC">
        <w:t> </w:t>
      </w:r>
      <w:r w:rsidR="00FE6BA2">
        <w:t xml:space="preserve">poradenství </w:t>
      </w:r>
      <w:r w:rsidR="00E05E6D">
        <w:t>při</w:t>
      </w:r>
      <w:r w:rsidR="00044212">
        <w:t> </w:t>
      </w:r>
      <w:r w:rsidR="00FE6BA2">
        <w:t xml:space="preserve">komplexních </w:t>
      </w:r>
      <w:r w:rsidR="00E05E6D">
        <w:t>dotazech</w:t>
      </w:r>
      <w:r w:rsidR="00FE6BA2">
        <w:t xml:space="preserve"> týkajících se </w:t>
      </w:r>
      <w:r w:rsidR="00FE6BA2" w:rsidRPr="00365E8D">
        <w:t>podmín</w:t>
      </w:r>
      <w:r w:rsidR="00FE6BA2">
        <w:t>ek</w:t>
      </w:r>
      <w:r w:rsidR="00FE6BA2" w:rsidRPr="00365E8D">
        <w:t xml:space="preserve"> vstupu na</w:t>
      </w:r>
      <w:r w:rsidR="00720A08">
        <w:t xml:space="preserve"> třetí</w:t>
      </w:r>
      <w:r w:rsidR="00FE6BA2" w:rsidRPr="00365E8D">
        <w:t xml:space="preserve"> trh</w:t>
      </w:r>
      <w:r w:rsidR="00720A08">
        <w:t>y</w:t>
      </w:r>
      <w:r w:rsidR="00FE6BA2" w:rsidRPr="00365E8D">
        <w:t>, pravid</w:t>
      </w:r>
      <w:r w:rsidR="00E05E6D">
        <w:t>e</w:t>
      </w:r>
      <w:r w:rsidR="00FE6BA2" w:rsidRPr="00365E8D">
        <w:t>l původu, překá</w:t>
      </w:r>
      <w:r w:rsidR="00FE6BA2">
        <w:t xml:space="preserve">žek </w:t>
      </w:r>
      <w:r w:rsidR="00FE6BA2" w:rsidRPr="00365E8D">
        <w:t>obchodu</w:t>
      </w:r>
      <w:r w:rsidR="00FE6BA2">
        <w:t xml:space="preserve"> atp.  </w:t>
      </w:r>
    </w:p>
    <w:p w14:paraId="409B0699" w14:textId="79C5E195" w:rsidR="00BC661D" w:rsidRPr="00720A08" w:rsidRDefault="003F406B" w:rsidP="00720A08">
      <w:pPr>
        <w:pStyle w:val="Bezmezer"/>
        <w:jc w:val="both"/>
      </w:pPr>
      <w:r>
        <w:t>V</w:t>
      </w:r>
      <w:r w:rsidR="00044212">
        <w:t> </w:t>
      </w:r>
      <w:r w:rsidR="00720A08" w:rsidRPr="00720A08">
        <w:t xml:space="preserve">roce 2023 </w:t>
      </w:r>
      <w:r>
        <w:t xml:space="preserve">byla </w:t>
      </w:r>
      <w:r w:rsidR="00720A08" w:rsidRPr="00720A08">
        <w:t>uzavřena mezi MPO a</w:t>
      </w:r>
      <w:r w:rsidR="000F25DC">
        <w:t> </w:t>
      </w:r>
      <w:r w:rsidR="00720A08" w:rsidRPr="00720A08">
        <w:t xml:space="preserve">podnikatelskými </w:t>
      </w:r>
      <w:r w:rsidR="00720A08">
        <w:t>re</w:t>
      </w:r>
      <w:r w:rsidR="00720A08" w:rsidRPr="00720A08">
        <w:t>prezentacemi nová smlouva o</w:t>
      </w:r>
      <w:r w:rsidR="000F25DC">
        <w:t> </w:t>
      </w:r>
      <w:r w:rsidR="00720A08" w:rsidRPr="00720A08">
        <w:t>poskytování speciálních služeb ZK CzechTrade Belgie podnikatelským reprezentacím</w:t>
      </w:r>
      <w:r w:rsidR="00720A08">
        <w:t xml:space="preserve"> (tzv. CEBRE)</w:t>
      </w:r>
      <w:r w:rsidR="0042246D">
        <w:t xml:space="preserve">. Poskytované služby zahrnují zejména </w:t>
      </w:r>
      <w:r w:rsidR="00720A08" w:rsidRPr="00720A08">
        <w:t>p</w:t>
      </w:r>
      <w:r w:rsidR="00BC661D" w:rsidRPr="00720A08">
        <w:t>rosazování zájmů podnikatelských reprezentací v</w:t>
      </w:r>
      <w:r w:rsidR="000F25DC">
        <w:t> </w:t>
      </w:r>
      <w:r w:rsidR="00BC661D" w:rsidRPr="00720A08">
        <w:t>institucích EU a</w:t>
      </w:r>
      <w:r w:rsidR="000F25DC">
        <w:t> </w:t>
      </w:r>
      <w:r w:rsidR="00BC661D" w:rsidRPr="00720A08">
        <w:t>v aktuálním legislativním procesu, komunikace s</w:t>
      </w:r>
      <w:r w:rsidR="000F25DC">
        <w:t> </w:t>
      </w:r>
      <w:r w:rsidR="00BC661D" w:rsidRPr="00720A08">
        <w:t xml:space="preserve">dalšími </w:t>
      </w:r>
      <w:r w:rsidR="00661D97">
        <w:t>podnikatelskými svazy</w:t>
      </w:r>
      <w:r w:rsidR="00BC661D" w:rsidRPr="00720A08">
        <w:t xml:space="preserve"> z</w:t>
      </w:r>
      <w:r w:rsidR="000F25DC">
        <w:t> </w:t>
      </w:r>
      <w:r w:rsidR="00BC661D" w:rsidRPr="00720A08">
        <w:t>ostatních zemí, jejich nadnárodními sdruženími, monitoring a</w:t>
      </w:r>
      <w:r w:rsidR="000F25DC">
        <w:t> </w:t>
      </w:r>
      <w:r w:rsidR="00BC661D" w:rsidRPr="00720A08">
        <w:t>reporting aktivit EU vůči podnikatelské veřejnosti.</w:t>
      </w:r>
    </w:p>
    <w:p w14:paraId="2BBE2E7D" w14:textId="09B50EB9" w:rsidR="00BB4CDB" w:rsidRDefault="006823FC" w:rsidP="00134CD1">
      <w:pPr>
        <w:pStyle w:val="Bezmezer"/>
        <w:jc w:val="both"/>
      </w:pPr>
      <w:r>
        <w:t>MPO v</w:t>
      </w:r>
      <w:r w:rsidR="003F406B">
        <w:t> roce 2023 realizov</w:t>
      </w:r>
      <w:r w:rsidR="00792DA6">
        <w:t>alo řadu</w:t>
      </w:r>
      <w:r w:rsidR="003F406B">
        <w:t xml:space="preserve"> </w:t>
      </w:r>
      <w:r w:rsidR="003F406B" w:rsidRPr="003F406B">
        <w:t>propagační</w:t>
      </w:r>
      <w:r w:rsidR="00792DA6">
        <w:t>ch</w:t>
      </w:r>
      <w:r w:rsidR="003F406B" w:rsidRPr="003F406B">
        <w:t xml:space="preserve"> aktivit </w:t>
      </w:r>
      <w:r w:rsidR="00792DA6">
        <w:t>zaměřených</w:t>
      </w:r>
      <w:r w:rsidR="003F406B" w:rsidRPr="003F406B">
        <w:t xml:space="preserve"> na zvyšování povědomí o</w:t>
      </w:r>
      <w:r w:rsidR="000F25DC">
        <w:t> </w:t>
      </w:r>
      <w:r w:rsidR="003F406B" w:rsidRPr="003F406B">
        <w:t>službách pro podnikatele na vnitřním trhu</w:t>
      </w:r>
      <w:r w:rsidR="00792DA6">
        <w:t>,</w:t>
      </w:r>
      <w:r w:rsidR="003F406B">
        <w:t xml:space="preserve"> </w:t>
      </w:r>
      <w:r w:rsidR="00792DA6">
        <w:t>k</w:t>
      </w:r>
      <w:r w:rsidR="003F406B">
        <w:t xml:space="preserve">onkrétně </w:t>
      </w:r>
      <w:r w:rsidR="00792DA6">
        <w:t>na využívání</w:t>
      </w:r>
      <w:r w:rsidR="003F406B">
        <w:t xml:space="preserve"> služby</w:t>
      </w:r>
      <w:r w:rsidR="00F17B3E">
        <w:t xml:space="preserve"> SOLVIT, </w:t>
      </w:r>
      <w:r w:rsidR="003F406B" w:rsidRPr="003F406B">
        <w:t>Kontaktní</w:t>
      </w:r>
      <w:r w:rsidR="00792DA6">
        <w:t>ch</w:t>
      </w:r>
      <w:r w:rsidR="003F406B" w:rsidRPr="003F406B">
        <w:t xml:space="preserve"> míst pro výrobky</w:t>
      </w:r>
      <w:r w:rsidR="00792DA6">
        <w:t xml:space="preserve"> (ProCoP)</w:t>
      </w:r>
      <w:r w:rsidR="00F17B3E">
        <w:t xml:space="preserve"> </w:t>
      </w:r>
      <w:r w:rsidR="00B46467">
        <w:t>či</w:t>
      </w:r>
      <w:r w:rsidR="00F17B3E">
        <w:t xml:space="preserve"> </w:t>
      </w:r>
      <w:r w:rsidR="00792DA6">
        <w:t xml:space="preserve">Jednotných kontaktních míst. </w:t>
      </w:r>
      <w:r w:rsidR="006B3FC3">
        <w:t>P</w:t>
      </w:r>
      <w:r w:rsidR="00792DA6">
        <w:t>rostřednictvím seminářů, pořádaných průběžně, ale i</w:t>
      </w:r>
      <w:r w:rsidR="000F25DC">
        <w:t> </w:t>
      </w:r>
      <w:r w:rsidR="00792DA6">
        <w:t>při specifických příležitostech (např. Mezinárodní strojírenský veletrh v</w:t>
      </w:r>
      <w:r w:rsidR="000F25DC">
        <w:t> </w:t>
      </w:r>
      <w:r w:rsidR="00792DA6">
        <w:t>Brně)</w:t>
      </w:r>
      <w:r w:rsidR="00F17B3E">
        <w:t xml:space="preserve"> </w:t>
      </w:r>
      <w:r w:rsidR="006B3FC3">
        <w:t>probíhalo i</w:t>
      </w:r>
      <w:r w:rsidR="000F25DC">
        <w:t> </w:t>
      </w:r>
      <w:r w:rsidR="00F17B3E">
        <w:t>informování o</w:t>
      </w:r>
      <w:r w:rsidR="000F25DC">
        <w:t> </w:t>
      </w:r>
      <w:r w:rsidR="00B46467">
        <w:t>aktualitách v</w:t>
      </w:r>
      <w:r w:rsidR="000F25DC">
        <w:t> </w:t>
      </w:r>
      <w:r w:rsidR="00B46467">
        <w:t xml:space="preserve">oblasti vnitřní trhu </w:t>
      </w:r>
      <w:r w:rsidR="00F17B3E">
        <w:t xml:space="preserve">(např. </w:t>
      </w:r>
      <w:r w:rsidR="00F17B3E" w:rsidRPr="00F17B3E">
        <w:t>nařízení o</w:t>
      </w:r>
      <w:r w:rsidR="000F25DC">
        <w:t> </w:t>
      </w:r>
      <w:r w:rsidR="00F17B3E" w:rsidRPr="00F17B3E">
        <w:t xml:space="preserve">ekodesignu udržitelných výrobků </w:t>
      </w:r>
      <w:r w:rsidR="00F17B3E">
        <w:t xml:space="preserve">či </w:t>
      </w:r>
      <w:r w:rsidR="00F17B3E" w:rsidRPr="00F17B3E">
        <w:t>nařízení o</w:t>
      </w:r>
      <w:r w:rsidR="000F25DC">
        <w:t> </w:t>
      </w:r>
      <w:r w:rsidR="00F17B3E" w:rsidRPr="00F17B3E">
        <w:t>strojních zařízeních</w:t>
      </w:r>
      <w:r w:rsidR="00F17B3E">
        <w:t>)</w:t>
      </w:r>
      <w:r w:rsidR="00792DA6">
        <w:t>.</w:t>
      </w:r>
      <w:r w:rsidR="00F17B3E" w:rsidRPr="00F17B3E">
        <w:t xml:space="preserve"> </w:t>
      </w:r>
      <w:r w:rsidR="006B3FC3" w:rsidRPr="006B3FC3">
        <w:t xml:space="preserve">Legislativní otázky </w:t>
      </w:r>
      <w:r w:rsidR="006B3FC3">
        <w:t>byly zároveň</w:t>
      </w:r>
      <w:r w:rsidR="006B3FC3" w:rsidRPr="006B3FC3">
        <w:t xml:space="preserve"> průběžně konzultovány s</w:t>
      </w:r>
      <w:r w:rsidR="000F25DC">
        <w:t> </w:t>
      </w:r>
      <w:r w:rsidR="006B3FC3" w:rsidRPr="006B3FC3">
        <w:t>podnikatelskými svazy, jmenovitě se Svazem průmyslu a</w:t>
      </w:r>
      <w:r w:rsidR="000F25DC">
        <w:t> </w:t>
      </w:r>
      <w:r w:rsidR="006B3FC3" w:rsidRPr="006B3FC3">
        <w:t>dopravy a</w:t>
      </w:r>
      <w:r w:rsidR="000F25DC">
        <w:t> </w:t>
      </w:r>
      <w:r w:rsidR="006B3FC3" w:rsidRPr="006B3FC3">
        <w:t>také Hospodářskou komorou.</w:t>
      </w:r>
    </w:p>
    <w:p w14:paraId="6C3D4FCF" w14:textId="193D3B7D" w:rsidR="00186954" w:rsidRPr="00E32DC7" w:rsidRDefault="00186954" w:rsidP="000A2337">
      <w:pPr>
        <w:pStyle w:val="Nadpis2"/>
      </w:pPr>
      <w:bookmarkStart w:id="58" w:name="_Toc169181864"/>
      <w:r w:rsidRPr="00E32DC7">
        <w:t>Prosazování pravidel digitálního obchodu do obchodních dohod EU</w:t>
      </w:r>
      <w:bookmarkEnd w:id="58"/>
    </w:p>
    <w:p w14:paraId="34233048" w14:textId="56C5889B" w:rsidR="00264B3F" w:rsidRPr="00264B3F" w:rsidRDefault="0000254D" w:rsidP="00264B3F">
      <w:pPr>
        <w:pStyle w:val="Bezmezer"/>
        <w:jc w:val="both"/>
      </w:pPr>
      <w:r w:rsidRPr="00264B3F">
        <w:t xml:space="preserve">Při utváření obchodní politiky </w:t>
      </w:r>
      <w:r w:rsidR="006823FC">
        <w:t>jsou</w:t>
      </w:r>
      <w:r w:rsidRPr="00264B3F">
        <w:t xml:space="preserve"> zohled</w:t>
      </w:r>
      <w:r w:rsidR="006823FC">
        <w:t>ňovány</w:t>
      </w:r>
      <w:r w:rsidRPr="00264B3F">
        <w:t xml:space="preserve"> aspekty vyplývající z</w:t>
      </w:r>
      <w:r w:rsidR="000F25DC">
        <w:t> </w:t>
      </w:r>
      <w:r w:rsidRPr="00264B3F">
        <w:t>aktuálních trendů a</w:t>
      </w:r>
      <w:r w:rsidR="000F25DC">
        <w:t> </w:t>
      </w:r>
      <w:r w:rsidRPr="00264B3F">
        <w:t>potřeb</w:t>
      </w:r>
      <w:r w:rsidR="006823FC">
        <w:t>,</w:t>
      </w:r>
      <w:r w:rsidRPr="00264B3F">
        <w:t xml:space="preserve"> </w:t>
      </w:r>
      <w:r w:rsidR="006823FC">
        <w:t>mezi něž patří</w:t>
      </w:r>
      <w:r w:rsidRPr="00264B3F">
        <w:t xml:space="preserve"> i</w:t>
      </w:r>
      <w:r w:rsidR="000F25DC">
        <w:t> </w:t>
      </w:r>
      <w:r w:rsidRPr="00264B3F">
        <w:t>digitální obchod</w:t>
      </w:r>
      <w:r w:rsidR="00E54219" w:rsidRPr="00264B3F">
        <w:t xml:space="preserve">, kde </w:t>
      </w:r>
      <w:r w:rsidR="00264B3F" w:rsidRPr="00264B3F">
        <w:t xml:space="preserve">českou pozici představuje podpora </w:t>
      </w:r>
      <w:r w:rsidRPr="00264B3F">
        <w:t>volného pohybu dat, ochrany technologického know-how či udržení bezcelního režimu pro elektronické transakce. Česká republika</w:t>
      </w:r>
      <w:r w:rsidR="00E32DC7" w:rsidRPr="00264B3F">
        <w:t xml:space="preserve"> </w:t>
      </w:r>
      <w:r w:rsidR="00264B3F" w:rsidRPr="00264B3F">
        <w:t>aktivn</w:t>
      </w:r>
      <w:r w:rsidR="006B3FC3">
        <w:t>ě</w:t>
      </w:r>
      <w:r w:rsidR="00264B3F" w:rsidRPr="00264B3F">
        <w:t xml:space="preserve"> prosaz</w:t>
      </w:r>
      <w:r w:rsidR="006B3FC3">
        <w:t>uje</w:t>
      </w:r>
      <w:r w:rsidR="00264B3F" w:rsidRPr="00264B3F">
        <w:t xml:space="preserve"> své pozice</w:t>
      </w:r>
      <w:r w:rsidR="006B3FC3">
        <w:t xml:space="preserve"> v</w:t>
      </w:r>
      <w:r w:rsidR="000F25DC">
        <w:t> </w:t>
      </w:r>
      <w:r w:rsidR="006B3FC3">
        <w:t>tomto sm</w:t>
      </w:r>
      <w:r w:rsidR="006B3FC3" w:rsidRPr="00C369A6">
        <w:t>ěru</w:t>
      </w:r>
      <w:r w:rsidR="00264B3F" w:rsidRPr="00C369A6">
        <w:t xml:space="preserve"> při jednáních v</w:t>
      </w:r>
      <w:r w:rsidR="000F25DC">
        <w:t> </w:t>
      </w:r>
      <w:r w:rsidR="00264B3F" w:rsidRPr="00C369A6">
        <w:t>Radě EU a</w:t>
      </w:r>
      <w:r w:rsidR="000F25DC">
        <w:t> </w:t>
      </w:r>
      <w:r w:rsidR="00264B3F" w:rsidRPr="00C369A6">
        <w:t>podpor</w:t>
      </w:r>
      <w:r w:rsidR="006B3FC3" w:rsidRPr="00C369A6">
        <w:t>uje</w:t>
      </w:r>
      <w:r w:rsidR="00E32DC7" w:rsidRPr="00C369A6">
        <w:t xml:space="preserve"> mezinárodní vyjednávání </w:t>
      </w:r>
      <w:r w:rsidRPr="00C369A6">
        <w:t xml:space="preserve">pravidel digitálního obchodu </w:t>
      </w:r>
      <w:r w:rsidR="00E32DC7" w:rsidRPr="00C369A6">
        <w:t>s</w:t>
      </w:r>
      <w:r w:rsidRPr="00C369A6">
        <w:t>e</w:t>
      </w:r>
      <w:r w:rsidR="00B606F4" w:rsidRPr="00C369A6">
        <w:t xml:space="preserve"> třetími </w:t>
      </w:r>
      <w:r w:rsidR="00E32DC7" w:rsidRPr="00C369A6">
        <w:t>zeměmi</w:t>
      </w:r>
      <w:r w:rsidR="00264B3F" w:rsidRPr="00C369A6">
        <w:t>. V</w:t>
      </w:r>
      <w:r w:rsidR="000F25DC">
        <w:t> </w:t>
      </w:r>
      <w:r w:rsidR="00264B3F" w:rsidRPr="00C369A6">
        <w:t>roce 2023 došlo k</w:t>
      </w:r>
      <w:r w:rsidR="000F25DC">
        <w:t> </w:t>
      </w:r>
      <w:r w:rsidR="00264B3F" w:rsidRPr="00C369A6">
        <w:t xml:space="preserve">zahájení </w:t>
      </w:r>
      <w:r w:rsidRPr="00C369A6">
        <w:t>vyjednávání Dohod o</w:t>
      </w:r>
      <w:r w:rsidR="000F25DC">
        <w:t> </w:t>
      </w:r>
      <w:r w:rsidRPr="00C369A6">
        <w:t>digitálním obchodu s</w:t>
      </w:r>
      <w:r w:rsidR="000F25DC">
        <w:t> </w:t>
      </w:r>
      <w:r w:rsidRPr="00C369A6">
        <w:t>Jižní Koreou a</w:t>
      </w:r>
      <w:r w:rsidR="000F25DC">
        <w:t> </w:t>
      </w:r>
      <w:r w:rsidRPr="00C369A6">
        <w:t>Singapurem a</w:t>
      </w:r>
      <w:r w:rsidR="000F25DC">
        <w:t> </w:t>
      </w:r>
      <w:r w:rsidR="00264B3F" w:rsidRPr="00C369A6">
        <w:t xml:space="preserve">k dojednání </w:t>
      </w:r>
      <w:r w:rsidRPr="00C369A6">
        <w:t>pravid</w:t>
      </w:r>
      <w:r w:rsidR="00264B3F" w:rsidRPr="00C369A6">
        <w:t>el</w:t>
      </w:r>
      <w:r w:rsidRPr="00C369A6">
        <w:t xml:space="preserve"> pro pohyb dat s</w:t>
      </w:r>
      <w:r w:rsidR="000F25DC">
        <w:t> </w:t>
      </w:r>
      <w:r w:rsidRPr="00C369A6">
        <w:t xml:space="preserve">Japonskem, což </w:t>
      </w:r>
      <w:r w:rsidR="00015A71">
        <w:t>odpovídá</w:t>
      </w:r>
      <w:r w:rsidR="00015A71" w:rsidRPr="00C369A6">
        <w:t xml:space="preserve"> </w:t>
      </w:r>
      <w:r w:rsidRPr="00C369A6">
        <w:t>dlouhodob</w:t>
      </w:r>
      <w:r w:rsidR="00015A71">
        <w:t>ému</w:t>
      </w:r>
      <w:r w:rsidR="000F25DC">
        <w:t> </w:t>
      </w:r>
      <w:r w:rsidRPr="00C369A6">
        <w:t>zájmu ČR.</w:t>
      </w:r>
      <w:r w:rsidRPr="00264B3F">
        <w:t xml:space="preserve"> </w:t>
      </w:r>
    </w:p>
    <w:p w14:paraId="32E77B1D" w14:textId="73DA1DBF" w:rsidR="00264B3F" w:rsidRPr="00264B3F" w:rsidRDefault="00264B3F" w:rsidP="00264B3F">
      <w:pPr>
        <w:pStyle w:val="Bezmezer"/>
        <w:jc w:val="both"/>
      </w:pPr>
      <w:r w:rsidRPr="00264B3F">
        <w:t>Za účelem prezentace digitální obchodní politiky a</w:t>
      </w:r>
      <w:r w:rsidR="000F25DC">
        <w:t> </w:t>
      </w:r>
      <w:r w:rsidRPr="00264B3F">
        <w:t xml:space="preserve">získání podnětů ze soukromého sektoru </w:t>
      </w:r>
      <w:r w:rsidR="006B3FC3">
        <w:t xml:space="preserve">uskutečnilo </w:t>
      </w:r>
      <w:r w:rsidR="00C947E3">
        <w:t>MPO</w:t>
      </w:r>
      <w:r w:rsidRPr="00264B3F">
        <w:t xml:space="preserve"> 7. března 2024</w:t>
      </w:r>
      <w:r w:rsidR="00C947E3">
        <w:t xml:space="preserve"> </w:t>
      </w:r>
      <w:r w:rsidRPr="00264B3F">
        <w:t>za účasti Svazu průmyslu a</w:t>
      </w:r>
      <w:r w:rsidR="000F25DC">
        <w:t> </w:t>
      </w:r>
      <w:r w:rsidRPr="00264B3F">
        <w:t>dopravy ČR, CzechTrade a</w:t>
      </w:r>
      <w:r w:rsidR="000F25DC">
        <w:t> </w:t>
      </w:r>
      <w:r>
        <w:t>firem</w:t>
      </w:r>
      <w:r w:rsidRPr="00264B3F">
        <w:t xml:space="preserve"> </w:t>
      </w:r>
      <w:r w:rsidR="00C947E3">
        <w:t>Ku</w:t>
      </w:r>
      <w:r w:rsidRPr="00264B3F">
        <w:t>latý stůl k</w:t>
      </w:r>
      <w:r w:rsidR="000F25DC">
        <w:t> </w:t>
      </w:r>
      <w:r w:rsidRPr="00264B3F">
        <w:t>digitálnímu obchodu, kd</w:t>
      </w:r>
      <w:r w:rsidR="00C947E3">
        <w:t>e</w:t>
      </w:r>
      <w:r w:rsidRPr="00264B3F">
        <w:t xml:space="preserve"> byly diskutovány </w:t>
      </w:r>
      <w:r>
        <w:t>překážky</w:t>
      </w:r>
      <w:r w:rsidRPr="00264B3F">
        <w:t xml:space="preserve"> v</w:t>
      </w:r>
      <w:r w:rsidR="000F25DC">
        <w:t> </w:t>
      </w:r>
      <w:r w:rsidRPr="00264B3F">
        <w:t>mezinárodním digitálním obchodu a</w:t>
      </w:r>
      <w:r w:rsidR="000F25DC">
        <w:t> </w:t>
      </w:r>
      <w:r w:rsidRPr="00264B3F">
        <w:t xml:space="preserve">další problémy, kterým firmy čelí. </w:t>
      </w:r>
    </w:p>
    <w:p w14:paraId="6E93C0BF" w14:textId="4355CAEA" w:rsidR="00825480" w:rsidRPr="00E32DC7" w:rsidRDefault="00186954" w:rsidP="000A2337">
      <w:pPr>
        <w:pStyle w:val="Nadpis2"/>
      </w:pPr>
      <w:bookmarkStart w:id="59" w:name="_Toc169181865"/>
      <w:bookmarkStart w:id="60" w:name="_Hlk168474773"/>
      <w:r w:rsidRPr="00E32DC7">
        <w:t>Dlouhodobé doménově zaměřené působení v</w:t>
      </w:r>
      <w:r w:rsidR="000F25DC">
        <w:t> </w:t>
      </w:r>
      <w:r w:rsidRPr="00E32DC7">
        <w:t>teritoriích</w:t>
      </w:r>
      <w:bookmarkEnd w:id="59"/>
    </w:p>
    <w:p w14:paraId="754CA1E6" w14:textId="7FD1A0EC" w:rsidR="00EE5EC4" w:rsidRPr="00E32DC7" w:rsidRDefault="00EE5EC4" w:rsidP="00EE5EC4">
      <w:pPr>
        <w:pStyle w:val="Bezmezer"/>
        <w:jc w:val="both"/>
      </w:pPr>
      <w:r w:rsidRPr="00E32DC7">
        <w:t>Posilování pozic a</w:t>
      </w:r>
      <w:r w:rsidR="000F25DC">
        <w:t> </w:t>
      </w:r>
      <w:r w:rsidRPr="00E32DC7">
        <w:t>zvyšování aktivity českých firem ve třetích zemích vyžaduje kontinuální působení vhodnými proexportními nástroji, resp. mixem těchto nástrojů přizpůsobeným konkrétním sektorům a</w:t>
      </w:r>
      <w:r w:rsidR="000F25DC">
        <w:t> </w:t>
      </w:r>
      <w:r w:rsidRPr="00E32DC7">
        <w:t xml:space="preserve">danému </w:t>
      </w:r>
      <w:r w:rsidRPr="00E32DC7">
        <w:lastRenderedPageBreak/>
        <w:t>teritoriu. Vznikat by měly tzv. toolboxy obsahující vhodné proexportní nástroje umožňující návazné působení, realizaci aktivit přizpůsobené jednotlivým teritoriím a</w:t>
      </w:r>
      <w:r w:rsidR="000F25DC">
        <w:t> </w:t>
      </w:r>
      <w:r w:rsidRPr="00E32DC7">
        <w:t>doménám. Ty by měly být následně využívány pro sestavování plánů v</w:t>
      </w:r>
      <w:r w:rsidR="000F25DC">
        <w:t> </w:t>
      </w:r>
      <w:r w:rsidRPr="00E32DC7">
        <w:t>daném teritoriu. V</w:t>
      </w:r>
      <w:r w:rsidR="000F25DC">
        <w:t> </w:t>
      </w:r>
      <w:r w:rsidRPr="00E32DC7">
        <w:t>roce 2023 probíhala identifikace sektorových a</w:t>
      </w:r>
      <w:r w:rsidR="000F25DC">
        <w:t> </w:t>
      </w:r>
      <w:r w:rsidRPr="00E32DC7">
        <w:t>doménových priorit v</w:t>
      </w:r>
      <w:r w:rsidR="000F25DC">
        <w:t> </w:t>
      </w:r>
      <w:r w:rsidRPr="00E32DC7">
        <w:t>zahraničních regionech i</w:t>
      </w:r>
      <w:r w:rsidR="000F25DC">
        <w:t> </w:t>
      </w:r>
      <w:r w:rsidRPr="00E32DC7">
        <w:t>konkrétních zemích na základě exportních příležitostí, trendů a</w:t>
      </w:r>
      <w:r w:rsidR="000F25DC">
        <w:t> </w:t>
      </w:r>
      <w:r w:rsidRPr="00E32DC7">
        <w:t xml:space="preserve">již existující exportní aktivity českých společností. </w:t>
      </w:r>
      <w:r w:rsidR="005C45B4">
        <w:t>Dále</w:t>
      </w:r>
      <w:r w:rsidRPr="00E32DC7">
        <w:t> je plánována tvorba konkrétních plánů využití a</w:t>
      </w:r>
      <w:r w:rsidR="000F25DC">
        <w:t> </w:t>
      </w:r>
      <w:r w:rsidRPr="00E32DC7">
        <w:t>návaznosti proexportních nástrojů pro identifikované sektory a</w:t>
      </w:r>
      <w:r w:rsidR="000F25DC">
        <w:t> </w:t>
      </w:r>
      <w:r w:rsidRPr="00E32DC7">
        <w:t>teritoria.</w:t>
      </w:r>
    </w:p>
    <w:p w14:paraId="1FB67254" w14:textId="13BCEBC2" w:rsidR="00186954" w:rsidRPr="00E32DC7" w:rsidRDefault="00186954" w:rsidP="000A2337">
      <w:pPr>
        <w:pStyle w:val="Nadpis2"/>
      </w:pPr>
      <w:bookmarkStart w:id="61" w:name="_Toc169181866"/>
      <w:bookmarkEnd w:id="60"/>
      <w:r w:rsidRPr="00E32DC7">
        <w:t>Podpora internacionalizace start-upů a</w:t>
      </w:r>
      <w:r w:rsidR="000F25DC">
        <w:t> </w:t>
      </w:r>
      <w:r w:rsidRPr="00E32DC7">
        <w:t>MSP</w:t>
      </w:r>
      <w:bookmarkEnd w:id="61"/>
    </w:p>
    <w:p w14:paraId="3DE7CBAA" w14:textId="3CDAAF5C" w:rsidR="007717D6" w:rsidRPr="00E32DC7" w:rsidRDefault="00F445B5" w:rsidP="00F445B5">
      <w:pPr>
        <w:pStyle w:val="Bezmezer"/>
        <w:jc w:val="both"/>
      </w:pPr>
      <w:r w:rsidRPr="00E32DC7">
        <w:t>Záměrem vytvářeného portfolia služeb a</w:t>
      </w:r>
      <w:r w:rsidR="000F25DC">
        <w:t> </w:t>
      </w:r>
      <w:r w:rsidRPr="00E32DC7">
        <w:t>programů podpory pro startupy agentur CzechInvest a</w:t>
      </w:r>
      <w:r w:rsidR="000F25DC">
        <w:t> </w:t>
      </w:r>
      <w:r w:rsidRPr="00E32DC7">
        <w:t>CzechTrade, ať již existujících či připravovaných, je poskytnout komplexní podporu státu při rozvoji vysoce inovativních, zejména technologických startupů, a</w:t>
      </w:r>
      <w:r w:rsidR="000F25DC">
        <w:t> </w:t>
      </w:r>
      <w:r w:rsidRPr="00E32DC7">
        <w:t xml:space="preserve">to od nápadu až po internacionalizaci. </w:t>
      </w:r>
    </w:p>
    <w:p w14:paraId="59D1E2A8" w14:textId="64D63927" w:rsidR="007717D6" w:rsidRPr="00E32DC7" w:rsidRDefault="00F445B5" w:rsidP="00F445B5">
      <w:pPr>
        <w:pStyle w:val="Bezmezer"/>
        <w:jc w:val="both"/>
      </w:pPr>
      <w:r w:rsidRPr="00E32DC7">
        <w:t>Těžiště programů podpory startupům realizovaných agenturou CzechInvest leží zejména v</w:t>
      </w:r>
      <w:r w:rsidR="000F25DC">
        <w:t> </w:t>
      </w:r>
      <w:r w:rsidRPr="00E32DC7">
        <w:t>podpoře ve fázi nápadu, vývoje produktu a</w:t>
      </w:r>
      <w:r w:rsidR="000F25DC">
        <w:t> </w:t>
      </w:r>
      <w:r w:rsidRPr="00E32DC7">
        <w:t>přípravě společnosti na internacionalizaci. Jedná se například o</w:t>
      </w:r>
      <w:r w:rsidR="000F25DC">
        <w:t> </w:t>
      </w:r>
      <w:r w:rsidRPr="00E32DC7">
        <w:t>program Technologická inkubace poskytující mnohostrannou podporu společnostem s</w:t>
      </w:r>
      <w:r w:rsidR="000F25DC">
        <w:t> </w:t>
      </w:r>
      <w:r w:rsidRPr="00E32DC7">
        <w:t>výjimečně inovativním, proveditelným a</w:t>
      </w:r>
      <w:r w:rsidR="000F25DC">
        <w:t> </w:t>
      </w:r>
      <w:r w:rsidRPr="00E32DC7">
        <w:t>škálovatelným produktem, programy ESA BIC Czech Republic a</w:t>
      </w:r>
      <w:r w:rsidR="000F25DC">
        <w:t> </w:t>
      </w:r>
      <w:r w:rsidRPr="00E32DC7">
        <w:t>Obranný akcelerátor DIANA zaměřené na podporu vývoje a</w:t>
      </w:r>
      <w:r w:rsidR="000F25DC">
        <w:t> </w:t>
      </w:r>
      <w:r w:rsidRPr="00E32DC7">
        <w:t>validaci vesmírných, resp. obranných technologií či službu Regulatorní sandbox umožňující testovací prostředí pro inovativní finanční produkty, služby nebo obchodní modely.</w:t>
      </w:r>
    </w:p>
    <w:p w14:paraId="76BA36F0" w14:textId="3AC30817" w:rsidR="00F445B5" w:rsidRPr="00E32DC7" w:rsidRDefault="00F445B5" w:rsidP="00F445B5">
      <w:pPr>
        <w:pStyle w:val="Bezmezer"/>
        <w:jc w:val="both"/>
        <w:rPr>
          <w:rFonts w:eastAsia="Arial"/>
        </w:rPr>
      </w:pPr>
      <w:r w:rsidRPr="00E32DC7">
        <w:t>Návazně na to</w:t>
      </w:r>
      <w:r w:rsidR="00C33144" w:rsidRPr="00E32DC7">
        <w:t xml:space="preserve"> se</w:t>
      </w:r>
      <w:r w:rsidRPr="00E32DC7">
        <w:t xml:space="preserve"> služby CzechTrade soustředí převážně na podporu ve fázi zahraniční expanze, exportu zboží a</w:t>
      </w:r>
      <w:r w:rsidR="000F25DC">
        <w:t> </w:t>
      </w:r>
      <w:r w:rsidRPr="00E32DC7">
        <w:t>služeb či další internacionalizace společnosti. V</w:t>
      </w:r>
      <w:r w:rsidR="000F25DC">
        <w:t> </w:t>
      </w:r>
      <w:r w:rsidRPr="00E32DC7">
        <w:t>nabídce jsou</w:t>
      </w:r>
      <w:r w:rsidRPr="00E32DC7">
        <w:rPr>
          <w:rFonts w:eastAsia="Arial"/>
        </w:rPr>
        <w:t xml:space="preserve"> individuální služby zahraničních kanceláří včetně posouzení exportního potenciálu (služba Startup Entry), představení potenciálním zahraničním investorům (služba </w:t>
      </w:r>
      <w:r w:rsidRPr="00E32DC7">
        <w:t>Czech Startup Days</w:t>
      </w:r>
      <w:r w:rsidR="00C33144" w:rsidRPr="00E32DC7">
        <w:t xml:space="preserve"> – v</w:t>
      </w:r>
      <w:r w:rsidR="000F25DC">
        <w:t> </w:t>
      </w:r>
      <w:r w:rsidR="00C33144" w:rsidRPr="00E32DC7">
        <w:t>říjnu 2023 proběhl Czech Startup Day ve Vídni, kde se 18 českých startupů prezentovalo před 8 investičními fondy a</w:t>
      </w:r>
      <w:r w:rsidR="000F25DC">
        <w:t> </w:t>
      </w:r>
      <w:r w:rsidR="00C33144" w:rsidRPr="00E32DC7">
        <w:t>investory</w:t>
      </w:r>
      <w:r w:rsidRPr="00E32DC7">
        <w:t>)</w:t>
      </w:r>
      <w:r w:rsidR="00C33144" w:rsidRPr="00E32DC7">
        <w:t xml:space="preserve"> </w:t>
      </w:r>
      <w:r w:rsidRPr="00E32DC7">
        <w:t xml:space="preserve">nebo </w:t>
      </w:r>
      <w:r w:rsidRPr="00E32DC7">
        <w:rPr>
          <w:rFonts w:eastAsia="Arial"/>
        </w:rPr>
        <w:t xml:space="preserve">možnost prezentace na technologicky zaměřených světových veletrzích (služba Startup Zone). </w:t>
      </w:r>
      <w:r w:rsidR="00C33144" w:rsidRPr="00E32DC7">
        <w:rPr>
          <w:rFonts w:eastAsia="Arial"/>
        </w:rPr>
        <w:t>V</w:t>
      </w:r>
      <w:r w:rsidR="000F25DC">
        <w:rPr>
          <w:rFonts w:eastAsia="Arial"/>
        </w:rPr>
        <w:t> </w:t>
      </w:r>
      <w:r w:rsidR="00C33144" w:rsidRPr="00E32DC7">
        <w:rPr>
          <w:rFonts w:eastAsia="Arial"/>
        </w:rPr>
        <w:t xml:space="preserve">roce 2023 těchto služeb CzechTrade využilo 21 startupů. </w:t>
      </w:r>
    </w:p>
    <w:p w14:paraId="181E77B1" w14:textId="6E5C3819" w:rsidR="00186954" w:rsidRPr="00E32DC7" w:rsidRDefault="00186954" w:rsidP="000A2337">
      <w:pPr>
        <w:pStyle w:val="Nadpis2"/>
      </w:pPr>
      <w:bookmarkStart w:id="62" w:name="_Toc169181867"/>
      <w:r w:rsidRPr="00E32DC7">
        <w:t>Nástroje umožňující realizaci komerčních návazností rozvojových projektů</w:t>
      </w:r>
      <w:bookmarkEnd w:id="62"/>
    </w:p>
    <w:p w14:paraId="2528FFCF" w14:textId="77777777" w:rsidR="00940A21" w:rsidRPr="005C45B4" w:rsidRDefault="00940A21" w:rsidP="00940A21">
      <w:pPr>
        <w:spacing w:after="0" w:line="240" w:lineRule="auto"/>
        <w:jc w:val="both"/>
      </w:pPr>
      <w:r w:rsidRPr="005C45B4">
        <w:rPr>
          <w:rFonts w:asciiTheme="majorHAnsi" w:hAnsiTheme="majorHAnsi" w:cstheme="majorHAnsi"/>
        </w:rPr>
        <w:t xml:space="preserve">Větší zapojení soukromého sektoru představuje aktuální trend v oblasti zahraniční rozvojové spolupráce. V souvislosti s tím jsou realizovány a rozvíjeny </w:t>
      </w:r>
      <w:r w:rsidRPr="005C45B4">
        <w:t xml:space="preserve">nástroje s potenciálem zvýšit dlouhodobé výsledky vynakládání prostředků státu na rozvojovou spolupráci, vytvořit obchodní a zejména investiční příležitosti pro soukromý sektor jak v přijímací, tak dárcovské zemi a zvýšit diverzifikaci českého exportu a internacionalizaci firem ve formě přímých dodavatelů do třetích zemí. Konkrétně se jedná o: </w:t>
      </w:r>
    </w:p>
    <w:p w14:paraId="30EA7A06" w14:textId="77777777" w:rsidR="00940A21" w:rsidRPr="005C45B4" w:rsidRDefault="00940A21" w:rsidP="00940A21">
      <w:pPr>
        <w:pStyle w:val="Bezmezer"/>
        <w:numPr>
          <w:ilvl w:val="0"/>
          <w:numId w:val="25"/>
        </w:numPr>
        <w:jc w:val="both"/>
      </w:pPr>
      <w:r w:rsidRPr="005C45B4">
        <w:t>Zapojení do Iniciativy EU Global Gateway skrze tzv. Flagships (vlajkové projekty). V prosinci 2023 PS Relex Horizontal Questions připravila Flagships na rok 2024, které byly COREPEREM II vzaty na vědomí. ČR navrhla doplnění jedné Flagship v Africe (Klimatická adaptace) a průběžně zkoumá příležitosti pro případné subdodavatele do dalších Flagships. ČR se zatím na žádných Flagships realizačně nepodílí, nicméně spolupracuje na 12 projektech v rámci Iniciativ TEAM Europe, které jsou základem některých Flagships a sleduje možnosti spolupráce v Global Gateway v zemích Střední Asie a v Zambii.</w:t>
      </w:r>
    </w:p>
    <w:p w14:paraId="2E57F925" w14:textId="77777777" w:rsidR="00940A21" w:rsidRPr="005C45B4" w:rsidRDefault="00940A21" w:rsidP="00940A21">
      <w:pPr>
        <w:pStyle w:val="Bezmezer"/>
        <w:numPr>
          <w:ilvl w:val="0"/>
          <w:numId w:val="24"/>
        </w:numPr>
        <w:jc w:val="both"/>
      </w:pPr>
      <w:r w:rsidRPr="005C45B4">
        <w:t>Zapojení do Iniciativy EU Facilita pro Ukrajinu – probíhá příprava projektů, žádosti rozvojově-finančních institucí o záruky na vybrané projekty bude možné předložit EK na základě výzvy v létě 2024. NRB se může ucházet vzhledem k dokončení pilířového hodnocení pro delegovanou spolupráci s EU v srpnu 2023. Výsledky této výzvy by měly být známy na konci roku 2024, v případě úspěchu NRB by realizace konkrétních projektů započala na jaře 2025.</w:t>
      </w:r>
    </w:p>
    <w:p w14:paraId="7FFDC66C" w14:textId="77777777" w:rsidR="00940A21" w:rsidRPr="005C45B4" w:rsidRDefault="00940A21" w:rsidP="00940A21">
      <w:pPr>
        <w:pStyle w:val="Bezmezer"/>
        <w:numPr>
          <w:ilvl w:val="0"/>
          <w:numId w:val="24"/>
        </w:numPr>
        <w:jc w:val="both"/>
      </w:pPr>
      <w:r w:rsidRPr="005C45B4">
        <w:t>Finanční nástroje ZRS – v průběhu roku 2024 je plánováno vyhlášení výzvy v programu Finančních nástrojů ZRS (záruk a zvýhodněných úvěrů NRB), a to na základě připravenosti projektů ze strany ČRA (pilotně pro Moldavsko).</w:t>
      </w:r>
    </w:p>
    <w:p w14:paraId="45B21019" w14:textId="77777777" w:rsidR="00940A21" w:rsidRPr="005C45B4" w:rsidRDefault="00940A21" w:rsidP="00940A21">
      <w:pPr>
        <w:pStyle w:val="Odstavecseseznamem"/>
        <w:numPr>
          <w:ilvl w:val="0"/>
          <w:numId w:val="24"/>
        </w:numPr>
        <w:spacing w:after="0" w:line="240" w:lineRule="auto"/>
        <w:jc w:val="both"/>
      </w:pPr>
      <w:r w:rsidRPr="005C45B4">
        <w:t>Program B2B – na začátku roku 2024 byly schváleny projekty na podporu podnikatelských záměrů s rozvojovým dopadem na rok 2024.</w:t>
      </w:r>
    </w:p>
    <w:p w14:paraId="5B207A74" w14:textId="77777777" w:rsidR="00940A21" w:rsidRPr="005C45B4" w:rsidRDefault="00940A21" w:rsidP="00940A21">
      <w:pPr>
        <w:pStyle w:val="Odstavecseseznamem"/>
        <w:numPr>
          <w:ilvl w:val="0"/>
          <w:numId w:val="24"/>
        </w:numPr>
        <w:spacing w:after="0" w:line="240" w:lineRule="auto"/>
        <w:jc w:val="both"/>
      </w:pPr>
      <w:r w:rsidRPr="005C45B4">
        <w:t>Aid for Trade – v</w:t>
      </w:r>
      <w:r w:rsidRPr="005C45B4">
        <w:rPr>
          <w:rFonts w:asciiTheme="majorHAnsi" w:hAnsiTheme="majorHAnsi" w:cstheme="majorHAnsi"/>
        </w:rPr>
        <w:t xml:space="preserve"> roce 2023 bylo čerpáno 10,9 mil. Kč a realizovány byly 4 projekty prodloužené z roku 2022 a 11 nových (celkem 15 projektů). Projekty přispívají k řešení potřeb zejména šestice prioritních zemí ZRS ČR (tj. BaH, Etiopie, Gruzie, Kambodža, Moldavsko, Zambie), a zároveň podporují vytváření příznivého prostředí pro zapojování těchto zemí do mezinárodního obchodu, a tím i příležitostí pro české firmy, podnikatele, experty atp. v pronikání na zahraniční trhy. Realizovaná podpora se zaměřila na rozvoj malých a středních podniků, podnikatelského a investičního prostředí, harmonizaci legislativy s předpisy </w:t>
      </w:r>
      <w:r w:rsidRPr="005C45B4">
        <w:rPr>
          <w:rFonts w:asciiTheme="majorHAnsi" w:hAnsiTheme="majorHAnsi" w:cstheme="majorHAnsi"/>
        </w:rPr>
        <w:lastRenderedPageBreak/>
        <w:t>EU a přístup na jednotný trh EU, nastavení pravidel obchodu s ropnými deriváty, odpadové hospodářství a využití odpadu, Green Energy, podporu chovu hospodářských zvířat, zpracování zemědělské produkce atd. V roce 2024 probíhá evaluace projektů Aid for Trade realizovaných v letech 2021-23 v BaH.</w:t>
      </w:r>
    </w:p>
    <w:p w14:paraId="08069926" w14:textId="77777777" w:rsidR="00940A21" w:rsidRPr="005C45B4" w:rsidRDefault="00940A21" w:rsidP="00940A21">
      <w:pPr>
        <w:pStyle w:val="Odstavecseseznamem"/>
        <w:numPr>
          <w:ilvl w:val="0"/>
          <w:numId w:val="24"/>
        </w:numPr>
        <w:spacing w:after="0" w:line="240" w:lineRule="auto"/>
        <w:jc w:val="both"/>
      </w:pPr>
      <w:r w:rsidRPr="005C45B4">
        <w:t xml:space="preserve">Vázané peněžní dary (VPD) – realizace VPD probíhá dle individuálního harmonogramu v zemích potřebujících stabilizaci, v roce 2024 zejména v Jordánsku, Libanonu, Sýrii a na Ukrajině. </w:t>
      </w:r>
    </w:p>
    <w:p w14:paraId="053340DB" w14:textId="1BF8D490" w:rsidR="00CD4935" w:rsidRPr="00B65591" w:rsidRDefault="00415B71" w:rsidP="005C45B4">
      <w:pPr>
        <w:pStyle w:val="Odstavecseseznamem"/>
        <w:numPr>
          <w:ilvl w:val="0"/>
          <w:numId w:val="24"/>
        </w:numPr>
        <w:spacing w:after="80" w:line="240" w:lineRule="auto"/>
        <w:ind w:left="357" w:hanging="357"/>
        <w:contextualSpacing w:val="0"/>
        <w:jc w:val="both"/>
      </w:pPr>
      <w:r>
        <w:t>Program humanitární, stabilizační, rekonstrukční a</w:t>
      </w:r>
      <w:r w:rsidR="000F25DC">
        <w:t> </w:t>
      </w:r>
      <w:r>
        <w:t>hospodářské asistence Ukrajině v</w:t>
      </w:r>
      <w:r w:rsidR="000F25DC">
        <w:t> </w:t>
      </w:r>
      <w:r>
        <w:t>letech 2023–2025 –program v</w:t>
      </w:r>
      <w:r w:rsidR="000F25DC">
        <w:t> </w:t>
      </w:r>
      <w:r>
        <w:t>roce 2023 navázal na vládní pomoc poskytnutou Ukrajině v</w:t>
      </w:r>
      <w:r w:rsidR="000F25DC">
        <w:t> </w:t>
      </w:r>
      <w:r>
        <w:t>roce 2022 a</w:t>
      </w:r>
      <w:r w:rsidR="000F25DC">
        <w:t> </w:t>
      </w:r>
      <w:r>
        <w:t>zároveň byly v</w:t>
      </w:r>
      <w:r w:rsidR="000F25DC">
        <w:t> </w:t>
      </w:r>
      <w:r>
        <w:t>těsné spolupráci gestorských resortů a</w:t>
      </w:r>
      <w:r w:rsidR="000F25DC">
        <w:t> </w:t>
      </w:r>
      <w:r>
        <w:t>PS pro Ukrajinu pod Radou pro ZRS připraveny a</w:t>
      </w:r>
      <w:r w:rsidR="000F25DC">
        <w:t> </w:t>
      </w:r>
      <w:r>
        <w:t>spuštěny nové projekty</w:t>
      </w:r>
      <w:r w:rsidR="00A259A5">
        <w:t>, zaměřené na humanitární, stabilizační a zdravotnickou pomoc a ekonomickou spolupráci.</w:t>
      </w:r>
      <w:r w:rsidR="005C45B4">
        <w:t xml:space="preserve"> </w:t>
      </w:r>
      <w:r>
        <w:t>Na asistenci z</w:t>
      </w:r>
      <w:r w:rsidR="000F25DC">
        <w:t> </w:t>
      </w:r>
      <w:r>
        <w:t>Programu v</w:t>
      </w:r>
      <w:r w:rsidR="000F25DC">
        <w:t> </w:t>
      </w:r>
      <w:r>
        <w:t>roce 2023 bylo celkem vyčleněno 500 mil. Kč, alokováno bylo 500 mil. Kč a</w:t>
      </w:r>
      <w:r w:rsidR="000F25DC">
        <w:t> </w:t>
      </w:r>
      <w:r>
        <w:t>k 31. 12. 2023 bylo vyčerpáno 301 mil. Kč</w:t>
      </w:r>
      <w:r w:rsidR="00536E94">
        <w:t>.</w:t>
      </w:r>
      <w:r>
        <w:t xml:space="preserve"> </w:t>
      </w:r>
      <w:r w:rsidR="00CD4935" w:rsidRPr="00CD4935">
        <w:t>Program pokračuje v</w:t>
      </w:r>
      <w:r w:rsidR="000F25DC">
        <w:t> </w:t>
      </w:r>
      <w:r w:rsidR="00CD4935" w:rsidRPr="00CD4935">
        <w:t>roce 2024 a</w:t>
      </w:r>
      <w:r w:rsidR="000F25DC">
        <w:t> </w:t>
      </w:r>
      <w:r w:rsidR="00CD4935" w:rsidRPr="00CD4935">
        <w:t>reaguje na vyvíjející se potřeby Ukrajiny (nové projekty rozvojové spolupráce, posílení ekonomických aktivit, další sbližování se standardy EU) a</w:t>
      </w:r>
      <w:r w:rsidR="000F25DC">
        <w:t> </w:t>
      </w:r>
      <w:r w:rsidR="00CD4935" w:rsidRPr="00CD4935">
        <w:t>také na nové nástroje mezinárodní spolupráce s</w:t>
      </w:r>
      <w:r w:rsidR="000F25DC">
        <w:t> </w:t>
      </w:r>
      <w:r w:rsidR="00CD4935" w:rsidRPr="00CD4935">
        <w:t>Ukrajinou (zapojení do Nástroje EU pro Ukrajinu).</w:t>
      </w:r>
    </w:p>
    <w:p w14:paraId="09A7DA2F" w14:textId="620723AA" w:rsidR="00186954" w:rsidRPr="00E32DC7" w:rsidRDefault="00186954" w:rsidP="000A2337">
      <w:pPr>
        <w:pStyle w:val="Nadpis2"/>
      </w:pPr>
      <w:bookmarkStart w:id="63" w:name="_Toc169181868"/>
      <w:r w:rsidRPr="00E32DC7">
        <w:t>Nové služby zaměřené na trvalé působení v</w:t>
      </w:r>
      <w:r w:rsidR="000F25DC">
        <w:t> </w:t>
      </w:r>
      <w:r w:rsidRPr="00E32DC7">
        <w:t>zahraničí</w:t>
      </w:r>
      <w:bookmarkEnd w:id="63"/>
    </w:p>
    <w:p w14:paraId="10D4F9C4" w14:textId="7E88F439" w:rsidR="006A4AAC" w:rsidRPr="00E32DC7" w:rsidRDefault="009853AA" w:rsidP="006A4AAC">
      <w:pPr>
        <w:pStyle w:val="Bezmezer"/>
        <w:jc w:val="both"/>
        <w:rPr>
          <w:noProof/>
        </w:rPr>
      </w:pPr>
      <w:r>
        <w:rPr>
          <w:noProof/>
        </w:rPr>
        <w:t>Exportní strategie předpokládá zaměření podpory nejen na samo</w:t>
      </w:r>
      <w:r w:rsidR="00C947E3">
        <w:rPr>
          <w:noProof/>
        </w:rPr>
        <w:t>t</w:t>
      </w:r>
      <w:r>
        <w:rPr>
          <w:noProof/>
        </w:rPr>
        <w:t>ný vývoz, ale nově i</w:t>
      </w:r>
      <w:r w:rsidR="000F25DC">
        <w:rPr>
          <w:noProof/>
        </w:rPr>
        <w:t> </w:t>
      </w:r>
      <w:r>
        <w:rPr>
          <w:noProof/>
        </w:rPr>
        <w:t>na celkovou internacionalizaci českých exportérů. V</w:t>
      </w:r>
      <w:r w:rsidR="000F25DC">
        <w:rPr>
          <w:noProof/>
        </w:rPr>
        <w:t> </w:t>
      </w:r>
      <w:r>
        <w:rPr>
          <w:noProof/>
        </w:rPr>
        <w:t xml:space="preserve">návaznosti na to jsou do </w:t>
      </w:r>
      <w:r w:rsidR="00097171" w:rsidRPr="00E32DC7">
        <w:rPr>
          <w:noProof/>
        </w:rPr>
        <w:t>portfolia proexportních služeb</w:t>
      </w:r>
      <w:r>
        <w:rPr>
          <w:noProof/>
        </w:rPr>
        <w:t xml:space="preserve"> státu </w:t>
      </w:r>
      <w:r w:rsidR="00097171" w:rsidRPr="00E32DC7">
        <w:rPr>
          <w:noProof/>
        </w:rPr>
        <w:t xml:space="preserve">zařazovány </w:t>
      </w:r>
      <w:r>
        <w:rPr>
          <w:noProof/>
        </w:rPr>
        <w:t>a</w:t>
      </w:r>
      <w:r w:rsidR="000F25DC">
        <w:rPr>
          <w:noProof/>
        </w:rPr>
        <w:t> </w:t>
      </w:r>
      <w:r>
        <w:rPr>
          <w:noProof/>
        </w:rPr>
        <w:t xml:space="preserve">dál rozvíjeny </w:t>
      </w:r>
      <w:r w:rsidR="00097171" w:rsidRPr="00E32DC7">
        <w:rPr>
          <w:noProof/>
        </w:rPr>
        <w:t>i</w:t>
      </w:r>
      <w:r w:rsidR="000F25DC">
        <w:rPr>
          <w:noProof/>
        </w:rPr>
        <w:t> </w:t>
      </w:r>
      <w:r w:rsidR="00097171" w:rsidRPr="00E32DC7">
        <w:rPr>
          <w:noProof/>
        </w:rPr>
        <w:t>služby podporující trvalé působení v</w:t>
      </w:r>
      <w:r w:rsidR="000F25DC">
        <w:rPr>
          <w:noProof/>
        </w:rPr>
        <w:t> </w:t>
      </w:r>
      <w:r w:rsidR="00097171" w:rsidRPr="00E32DC7">
        <w:rPr>
          <w:noProof/>
        </w:rPr>
        <w:t>teritoriu. Zejména se jedná o</w:t>
      </w:r>
      <w:r w:rsidR="00CE6B6D" w:rsidRPr="00E32DC7">
        <w:rPr>
          <w:noProof/>
        </w:rPr>
        <w:t>:</w:t>
      </w:r>
    </w:p>
    <w:p w14:paraId="450D9F9E" w14:textId="1783EE59" w:rsidR="006A4AAC" w:rsidRPr="00E32DC7" w:rsidRDefault="006A4AAC" w:rsidP="006A4AAC">
      <w:pPr>
        <w:pStyle w:val="Bezmezer"/>
        <w:numPr>
          <w:ilvl w:val="0"/>
          <w:numId w:val="19"/>
        </w:numPr>
        <w:jc w:val="both"/>
        <w:rPr>
          <w:noProof/>
        </w:rPr>
      </w:pPr>
      <w:r w:rsidRPr="00E32DC7">
        <w:rPr>
          <w:noProof/>
        </w:rPr>
        <w:t>E</w:t>
      </w:r>
      <w:r w:rsidR="00CE6B6D" w:rsidRPr="00E32DC7">
        <w:rPr>
          <w:noProof/>
        </w:rPr>
        <w:t>xportní inkubátory CzechTrade, jejichž síť, sestávají</w:t>
      </w:r>
      <w:r w:rsidRPr="00E32DC7">
        <w:rPr>
          <w:noProof/>
        </w:rPr>
        <w:t>cí</w:t>
      </w:r>
      <w:r w:rsidR="00CE6B6D" w:rsidRPr="00E32DC7">
        <w:rPr>
          <w:noProof/>
        </w:rPr>
        <w:t xml:space="preserve"> z</w:t>
      </w:r>
      <w:r w:rsidR="000F25DC">
        <w:rPr>
          <w:noProof/>
        </w:rPr>
        <w:t> </w:t>
      </w:r>
      <w:r w:rsidR="00CE6B6D" w:rsidRPr="00E32DC7">
        <w:rPr>
          <w:noProof/>
        </w:rPr>
        <w:t>inkubátorů v</w:t>
      </w:r>
      <w:r w:rsidR="000F25DC">
        <w:rPr>
          <w:noProof/>
        </w:rPr>
        <w:t> </w:t>
      </w:r>
      <w:r w:rsidR="00CE6B6D" w:rsidRPr="00E32DC7">
        <w:rPr>
          <w:noProof/>
        </w:rPr>
        <w:t>Bengalúru (Indie), Dubaji (SAE), Chicagu (USA), rozšířil v</w:t>
      </w:r>
      <w:r w:rsidR="000F25DC">
        <w:rPr>
          <w:noProof/>
        </w:rPr>
        <w:t> </w:t>
      </w:r>
      <w:r w:rsidR="00CE6B6D" w:rsidRPr="00E32DC7">
        <w:rPr>
          <w:noProof/>
        </w:rPr>
        <w:t>roce 2023 exportní inkubátor v</w:t>
      </w:r>
      <w:r w:rsidR="000F25DC">
        <w:rPr>
          <w:noProof/>
        </w:rPr>
        <w:t> </w:t>
      </w:r>
      <w:r w:rsidR="00CE6B6D" w:rsidRPr="00E32DC7">
        <w:rPr>
          <w:noProof/>
        </w:rPr>
        <w:t xml:space="preserve">Mexico City. </w:t>
      </w:r>
      <w:r w:rsidR="00015A71">
        <w:rPr>
          <w:noProof/>
        </w:rPr>
        <w:t>V </w:t>
      </w:r>
      <w:r w:rsidR="00015A71" w:rsidRPr="00E32DC7">
        <w:rPr>
          <w:noProof/>
        </w:rPr>
        <w:t>roce 2023</w:t>
      </w:r>
      <w:r w:rsidR="00015A71">
        <w:rPr>
          <w:noProof/>
        </w:rPr>
        <w:t xml:space="preserve"> využilo s</w:t>
      </w:r>
      <w:r w:rsidRPr="00E32DC7">
        <w:rPr>
          <w:noProof/>
        </w:rPr>
        <w:t>lužeb exportních inkubátorů 10 společností.</w:t>
      </w:r>
    </w:p>
    <w:p w14:paraId="74DBB7CE" w14:textId="52840082" w:rsidR="006A4AAC" w:rsidRPr="00E32DC7" w:rsidRDefault="00CE6B6D" w:rsidP="006A4AAC">
      <w:pPr>
        <w:pStyle w:val="Bezmezer"/>
        <w:numPr>
          <w:ilvl w:val="0"/>
          <w:numId w:val="19"/>
        </w:numPr>
        <w:jc w:val="both"/>
        <w:rPr>
          <w:noProof/>
        </w:rPr>
      </w:pPr>
      <w:r w:rsidRPr="00E32DC7">
        <w:rPr>
          <w:noProof/>
        </w:rPr>
        <w:t>Exportní aliance CzechTrade sdružující firmy, jejichž výrobky a</w:t>
      </w:r>
      <w:r w:rsidR="000F25DC">
        <w:rPr>
          <w:noProof/>
        </w:rPr>
        <w:t> </w:t>
      </w:r>
      <w:r w:rsidRPr="00E32DC7">
        <w:rPr>
          <w:noProof/>
        </w:rPr>
        <w:t>služby se vzájemně doplňují</w:t>
      </w:r>
      <w:r w:rsidR="006A4AAC" w:rsidRPr="00E32DC7">
        <w:rPr>
          <w:noProof/>
        </w:rPr>
        <w:t>, za účelem jejich efektivní prezentace v</w:t>
      </w:r>
      <w:r w:rsidR="000F25DC">
        <w:rPr>
          <w:noProof/>
        </w:rPr>
        <w:t> </w:t>
      </w:r>
      <w:r w:rsidR="006A4AAC" w:rsidRPr="00E32DC7">
        <w:rPr>
          <w:noProof/>
        </w:rPr>
        <w:t>zahraničí. Čtyři již fungující</w:t>
      </w:r>
      <w:r w:rsidR="00D26AF1" w:rsidRPr="00E32DC7">
        <w:rPr>
          <w:noProof/>
        </w:rPr>
        <w:t xml:space="preserve"> exportní alianc</w:t>
      </w:r>
      <w:r w:rsidR="006A4AAC" w:rsidRPr="00E32DC7">
        <w:rPr>
          <w:noProof/>
        </w:rPr>
        <w:t>e</w:t>
      </w:r>
      <w:r w:rsidR="00D26AF1" w:rsidRPr="00E32DC7">
        <w:rPr>
          <w:noProof/>
        </w:rPr>
        <w:t>, tj. Czech Water Alliance</w:t>
      </w:r>
      <w:r w:rsidR="006A4AAC" w:rsidRPr="00E32DC7">
        <w:rPr>
          <w:noProof/>
        </w:rPr>
        <w:t xml:space="preserve"> (sdruženo 21 firem)</w:t>
      </w:r>
      <w:r w:rsidR="00D26AF1" w:rsidRPr="00E32DC7">
        <w:rPr>
          <w:noProof/>
        </w:rPr>
        <w:t>, Proveg</w:t>
      </w:r>
      <w:r w:rsidR="006A4AAC" w:rsidRPr="00E32DC7">
        <w:rPr>
          <w:noProof/>
        </w:rPr>
        <w:t xml:space="preserve"> (7 firem)</w:t>
      </w:r>
      <w:r w:rsidR="00D26AF1" w:rsidRPr="00E32DC7">
        <w:rPr>
          <w:noProof/>
        </w:rPr>
        <w:t>, Elemets For Smart Cit</w:t>
      </w:r>
      <w:r w:rsidR="006A4AAC" w:rsidRPr="00E32DC7">
        <w:rPr>
          <w:noProof/>
        </w:rPr>
        <w:t xml:space="preserve">y (16 firem) </w:t>
      </w:r>
      <w:r w:rsidR="00D26AF1" w:rsidRPr="00E32DC7">
        <w:rPr>
          <w:noProof/>
        </w:rPr>
        <w:t>a</w:t>
      </w:r>
      <w:r w:rsidR="000F25DC">
        <w:rPr>
          <w:noProof/>
        </w:rPr>
        <w:t> </w:t>
      </w:r>
      <w:r w:rsidR="00D26AF1" w:rsidRPr="00E32DC7">
        <w:rPr>
          <w:noProof/>
        </w:rPr>
        <w:t xml:space="preserve">Bound by Jewellery </w:t>
      </w:r>
      <w:r w:rsidR="006A4AAC" w:rsidRPr="00E32DC7">
        <w:rPr>
          <w:noProof/>
        </w:rPr>
        <w:t xml:space="preserve">(4 firmy) </w:t>
      </w:r>
      <w:r w:rsidR="00D26AF1" w:rsidRPr="00E32DC7">
        <w:rPr>
          <w:noProof/>
        </w:rPr>
        <w:t>doplnila</w:t>
      </w:r>
      <w:r w:rsidR="006A4AAC" w:rsidRPr="00E32DC7">
        <w:rPr>
          <w:noProof/>
        </w:rPr>
        <w:t xml:space="preserve"> v</w:t>
      </w:r>
      <w:r w:rsidR="000F25DC">
        <w:rPr>
          <w:noProof/>
        </w:rPr>
        <w:t> </w:t>
      </w:r>
      <w:r w:rsidR="006A4AAC" w:rsidRPr="00E32DC7">
        <w:rPr>
          <w:noProof/>
        </w:rPr>
        <w:t>roce 2023</w:t>
      </w:r>
      <w:r w:rsidR="00D26AF1" w:rsidRPr="00E32DC7">
        <w:rPr>
          <w:noProof/>
        </w:rPr>
        <w:t xml:space="preserve"> aliance </w:t>
      </w:r>
      <w:r w:rsidR="006A4AAC" w:rsidRPr="00E32DC7">
        <w:rPr>
          <w:noProof/>
        </w:rPr>
        <w:t xml:space="preserve">subdodavatelů do leteckého průmyslu </w:t>
      </w:r>
      <w:r w:rsidR="00D26AF1" w:rsidRPr="00E32DC7">
        <w:rPr>
          <w:noProof/>
        </w:rPr>
        <w:t>Czech Aerospace Export Alliance (6</w:t>
      </w:r>
      <w:r w:rsidR="006A4AAC" w:rsidRPr="00E32DC7">
        <w:rPr>
          <w:noProof/>
        </w:rPr>
        <w:t> </w:t>
      </w:r>
      <w:r w:rsidR="00D26AF1" w:rsidRPr="00E32DC7">
        <w:rPr>
          <w:noProof/>
        </w:rPr>
        <w:t xml:space="preserve">firem). </w:t>
      </w:r>
      <w:r w:rsidR="006A4AAC" w:rsidRPr="00E32DC7">
        <w:rPr>
          <w:noProof/>
        </w:rPr>
        <w:t>V</w:t>
      </w:r>
      <w:r w:rsidR="000F25DC">
        <w:rPr>
          <w:noProof/>
        </w:rPr>
        <w:t> </w:t>
      </w:r>
      <w:r w:rsidR="006A4AAC" w:rsidRPr="00E32DC7">
        <w:rPr>
          <w:noProof/>
        </w:rPr>
        <w:t>roce 2024 je plánováno založení exportní aliance v</w:t>
      </w:r>
      <w:r w:rsidR="000F25DC">
        <w:rPr>
          <w:noProof/>
        </w:rPr>
        <w:t> </w:t>
      </w:r>
      <w:r w:rsidR="006A4AAC" w:rsidRPr="00E32DC7">
        <w:rPr>
          <w:noProof/>
        </w:rPr>
        <w:t>sektoru hraček a</w:t>
      </w:r>
      <w:r w:rsidR="000F25DC">
        <w:rPr>
          <w:noProof/>
        </w:rPr>
        <w:t> </w:t>
      </w:r>
      <w:r w:rsidR="006A4AAC" w:rsidRPr="00E32DC7">
        <w:rPr>
          <w:noProof/>
        </w:rPr>
        <w:t xml:space="preserve">HoReCa. </w:t>
      </w:r>
    </w:p>
    <w:p w14:paraId="344FBA8F" w14:textId="7C58E5FA" w:rsidR="0066263F" w:rsidRPr="00E32DC7" w:rsidRDefault="0066263F" w:rsidP="0066263F">
      <w:pPr>
        <w:pStyle w:val="Bezmezer"/>
        <w:numPr>
          <w:ilvl w:val="0"/>
          <w:numId w:val="19"/>
        </w:numPr>
        <w:jc w:val="both"/>
        <w:rPr>
          <w:noProof/>
        </w:rPr>
      </w:pPr>
      <w:r w:rsidRPr="00E32DC7">
        <w:rPr>
          <w:noProof/>
        </w:rPr>
        <w:t>Specializovanou asistenční službu KOMPAS pomáhající exportérům při komplikovaných administrativních procesech v</w:t>
      </w:r>
      <w:r w:rsidR="000F25DC">
        <w:rPr>
          <w:noProof/>
        </w:rPr>
        <w:t> </w:t>
      </w:r>
      <w:r w:rsidRPr="00E32DC7">
        <w:rPr>
          <w:noProof/>
        </w:rPr>
        <w:t>zahraničí. Služba je realizovaná ve spolupráci s</w:t>
      </w:r>
      <w:r w:rsidR="000F25DC">
        <w:rPr>
          <w:noProof/>
        </w:rPr>
        <w:t> </w:t>
      </w:r>
      <w:r w:rsidRPr="00E32DC7">
        <w:rPr>
          <w:noProof/>
        </w:rPr>
        <w:t>místními odborníky a</w:t>
      </w:r>
      <w:r w:rsidR="000F25DC">
        <w:rPr>
          <w:noProof/>
        </w:rPr>
        <w:t> </w:t>
      </w:r>
      <w:r w:rsidRPr="00E32DC7">
        <w:rPr>
          <w:noProof/>
        </w:rPr>
        <w:t xml:space="preserve">zahrnuje například asistenci při vzniku sídla společnosti, certifikaci výrobků atd. </w:t>
      </w:r>
    </w:p>
    <w:p w14:paraId="7E640774" w14:textId="36AC0500" w:rsidR="00C5685F" w:rsidRPr="00E32DC7" w:rsidRDefault="00C5685F" w:rsidP="00A94F9E">
      <w:pPr>
        <w:pStyle w:val="Bezmezer"/>
        <w:numPr>
          <w:ilvl w:val="0"/>
          <w:numId w:val="19"/>
        </w:numPr>
        <w:tabs>
          <w:tab w:val="left" w:pos="960"/>
        </w:tabs>
        <w:jc w:val="both"/>
        <w:rPr>
          <w:noProof/>
          <w:color w:val="auto"/>
        </w:rPr>
      </w:pPr>
      <w:r w:rsidRPr="00E32DC7">
        <w:rPr>
          <w:noProof/>
        </w:rPr>
        <w:t>Služby vyhledávání exportních příležitostí a</w:t>
      </w:r>
      <w:r w:rsidR="000F25DC">
        <w:rPr>
          <w:noProof/>
        </w:rPr>
        <w:t> </w:t>
      </w:r>
      <w:r w:rsidRPr="00E32DC7">
        <w:rPr>
          <w:noProof/>
        </w:rPr>
        <w:t>na ně navazující B2B jednání, tzv. Sourcing Days.  V</w:t>
      </w:r>
      <w:r w:rsidR="000F25DC">
        <w:rPr>
          <w:noProof/>
        </w:rPr>
        <w:t> </w:t>
      </w:r>
      <w:r w:rsidRPr="00E32DC7">
        <w:rPr>
          <w:noProof/>
        </w:rPr>
        <w:t>roce 2023 CzechTrade zprostředkoval 225 zahraničních poptávek a</w:t>
      </w:r>
      <w:r w:rsidR="000F25DC">
        <w:rPr>
          <w:noProof/>
        </w:rPr>
        <w:t> </w:t>
      </w:r>
      <w:r w:rsidRPr="00E32DC7">
        <w:rPr>
          <w:noProof/>
        </w:rPr>
        <w:t>225 tendrů (171 z</w:t>
      </w:r>
      <w:r w:rsidR="000F25DC">
        <w:rPr>
          <w:noProof/>
        </w:rPr>
        <w:t> </w:t>
      </w:r>
      <w:r w:rsidRPr="00E32DC7">
        <w:rPr>
          <w:noProof/>
        </w:rPr>
        <w:t>CERN, 43 z</w:t>
      </w:r>
      <w:r w:rsidR="000F25DC">
        <w:rPr>
          <w:noProof/>
        </w:rPr>
        <w:t> </w:t>
      </w:r>
      <w:r w:rsidRPr="00E32DC7">
        <w:rPr>
          <w:noProof/>
        </w:rPr>
        <w:t>ukrajinské platformy Prozorro a</w:t>
      </w:r>
      <w:r w:rsidR="000F25DC">
        <w:rPr>
          <w:noProof/>
        </w:rPr>
        <w:t> </w:t>
      </w:r>
      <w:r w:rsidRPr="00E32DC7">
        <w:rPr>
          <w:noProof/>
        </w:rPr>
        <w:t>11 z</w:t>
      </w:r>
      <w:r w:rsidR="000F25DC">
        <w:rPr>
          <w:noProof/>
        </w:rPr>
        <w:t> </w:t>
      </w:r>
      <w:r w:rsidRPr="00E32DC7">
        <w:rPr>
          <w:noProof/>
        </w:rPr>
        <w:t xml:space="preserve">EBRD). </w:t>
      </w:r>
    </w:p>
    <w:p w14:paraId="0E276B9E" w14:textId="797B9A02" w:rsidR="00C5685F" w:rsidRPr="00E32DC7" w:rsidRDefault="00C5685F" w:rsidP="00C369A6">
      <w:pPr>
        <w:pStyle w:val="Bezmezer"/>
        <w:numPr>
          <w:ilvl w:val="0"/>
          <w:numId w:val="19"/>
        </w:numPr>
        <w:tabs>
          <w:tab w:val="left" w:pos="960"/>
        </w:tabs>
        <w:jc w:val="both"/>
        <w:rPr>
          <w:noProof/>
          <w:color w:val="auto"/>
        </w:rPr>
      </w:pPr>
      <w:r w:rsidRPr="00E32DC7">
        <w:rPr>
          <w:noProof/>
          <w:color w:val="auto"/>
        </w:rPr>
        <w:t xml:space="preserve">Službu </w:t>
      </w:r>
      <w:r w:rsidRPr="00E32DC7">
        <w:rPr>
          <w:noProof/>
        </w:rPr>
        <w:t>Digitální marketing a</w:t>
      </w:r>
      <w:r w:rsidR="000F25DC">
        <w:rPr>
          <w:noProof/>
        </w:rPr>
        <w:t> </w:t>
      </w:r>
      <w:r w:rsidRPr="00E32DC7">
        <w:rPr>
          <w:noProof/>
        </w:rPr>
        <w:t>e-commerce poskytující marketingovou podporu v</w:t>
      </w:r>
      <w:r w:rsidR="000F25DC">
        <w:rPr>
          <w:noProof/>
        </w:rPr>
        <w:t> </w:t>
      </w:r>
      <w:r w:rsidRPr="00E32DC7">
        <w:rPr>
          <w:noProof/>
        </w:rPr>
        <w:t>zahraničí () a</w:t>
      </w:r>
      <w:r w:rsidR="000F25DC">
        <w:rPr>
          <w:noProof/>
        </w:rPr>
        <w:t> </w:t>
      </w:r>
      <w:r w:rsidRPr="00E32DC7">
        <w:rPr>
          <w:noProof/>
        </w:rPr>
        <w:t>Adresář exportérů</w:t>
      </w:r>
      <w:r w:rsidR="00EE5EC4" w:rsidRPr="00E32DC7">
        <w:rPr>
          <w:noProof/>
        </w:rPr>
        <w:t xml:space="preserve"> prezentující </w:t>
      </w:r>
      <w:r w:rsidRPr="00E32DC7">
        <w:rPr>
          <w:noProof/>
        </w:rPr>
        <w:t>594 firem</w:t>
      </w:r>
      <w:r w:rsidR="00EE5EC4" w:rsidRPr="00E32DC7">
        <w:rPr>
          <w:noProof/>
        </w:rPr>
        <w:t xml:space="preserve"> (v roce 2023 se Adresář rozšířil o</w:t>
      </w:r>
      <w:r w:rsidR="000F25DC">
        <w:rPr>
          <w:noProof/>
        </w:rPr>
        <w:t> </w:t>
      </w:r>
      <w:r w:rsidR="00EE5EC4" w:rsidRPr="00E32DC7">
        <w:rPr>
          <w:noProof/>
        </w:rPr>
        <w:t>34 exportérů)</w:t>
      </w:r>
      <w:r w:rsidRPr="00E32DC7">
        <w:rPr>
          <w:noProof/>
        </w:rPr>
        <w:t>.</w:t>
      </w:r>
    </w:p>
    <w:p w14:paraId="50E03FDE" w14:textId="2A4CC81F" w:rsidR="00C5685F" w:rsidRPr="00214155" w:rsidRDefault="00C5685F" w:rsidP="00A94F9E">
      <w:pPr>
        <w:pStyle w:val="Bezmezer"/>
        <w:numPr>
          <w:ilvl w:val="0"/>
          <w:numId w:val="19"/>
        </w:numPr>
        <w:tabs>
          <w:tab w:val="left" w:pos="960"/>
        </w:tabs>
        <w:jc w:val="both"/>
        <w:rPr>
          <w:noProof/>
          <w:color w:val="auto"/>
        </w:rPr>
      </w:pPr>
      <w:r w:rsidRPr="00214155">
        <w:rPr>
          <w:noProof/>
          <w:color w:val="auto"/>
        </w:rPr>
        <w:t>Službu Podpora importu pro rozvoj exportu</w:t>
      </w:r>
      <w:r w:rsidR="00EE5EC4" w:rsidRPr="00214155">
        <w:rPr>
          <w:noProof/>
          <w:color w:val="auto"/>
        </w:rPr>
        <w:t>, která pomáhá firmám čelit výpadkům strategických dodávek komponentů a</w:t>
      </w:r>
      <w:r w:rsidR="000F25DC" w:rsidRPr="00214155">
        <w:rPr>
          <w:noProof/>
          <w:color w:val="auto"/>
        </w:rPr>
        <w:t> </w:t>
      </w:r>
      <w:r w:rsidR="00EE5EC4" w:rsidRPr="00214155">
        <w:rPr>
          <w:noProof/>
          <w:color w:val="auto"/>
        </w:rPr>
        <w:t>surovin nejen z</w:t>
      </w:r>
      <w:r w:rsidR="000F25DC" w:rsidRPr="00214155">
        <w:rPr>
          <w:noProof/>
          <w:color w:val="auto"/>
        </w:rPr>
        <w:t> </w:t>
      </w:r>
      <w:r w:rsidR="00EE5EC4" w:rsidRPr="00214155">
        <w:rPr>
          <w:noProof/>
          <w:color w:val="auto"/>
        </w:rPr>
        <w:t>Ukrajiny.</w:t>
      </w:r>
    </w:p>
    <w:p w14:paraId="5EA623A7" w14:textId="11918FA8" w:rsidR="00214155" w:rsidRPr="00214155" w:rsidRDefault="00214155" w:rsidP="00214155">
      <w:pPr>
        <w:pStyle w:val="Bezmezer"/>
        <w:numPr>
          <w:ilvl w:val="0"/>
          <w:numId w:val="19"/>
        </w:numPr>
        <w:tabs>
          <w:tab w:val="left" w:pos="960"/>
        </w:tabs>
        <w:jc w:val="both"/>
        <w:rPr>
          <w:noProof/>
          <w:color w:val="auto"/>
        </w:rPr>
      </w:pPr>
      <w:r w:rsidRPr="00214155">
        <w:rPr>
          <w:noProof/>
          <w:color w:val="auto"/>
        </w:rPr>
        <w:t>Dále jde o program realizovaný ve splupráci MZV a Hospodářské komory PROPEA, který založen na poskytování služeb zahraničních expertů českým firmám na zahraničních trzích. Cílem je snížení rizik spojených se vstupem na náročné zahraniční trhy, posílení kapacit pro podporu trvalejší přítomnosti firem na zahraničních trzích a také podpora českých firem, jejichž aktivity v zahraničí se neomezují pouze na export, ale mají spíše investiční charakter.</w:t>
      </w:r>
    </w:p>
    <w:p w14:paraId="05BA3906" w14:textId="480ED7F8" w:rsidR="00186954" w:rsidRPr="00E32DC7" w:rsidRDefault="00186954" w:rsidP="000A2337">
      <w:pPr>
        <w:pStyle w:val="Nadpis2"/>
      </w:pPr>
      <w:bookmarkStart w:id="64" w:name="_Toc169181869"/>
      <w:r w:rsidRPr="00E32DC7">
        <w:t>Rozvoj podpory účastí českých firem na zahraničních výstavách a</w:t>
      </w:r>
      <w:r w:rsidR="000F25DC">
        <w:t> </w:t>
      </w:r>
      <w:r w:rsidRPr="00E32DC7">
        <w:t>veletrzích</w:t>
      </w:r>
      <w:bookmarkEnd w:id="64"/>
    </w:p>
    <w:p w14:paraId="127FFF8B" w14:textId="747BF6FA" w:rsidR="00CC1688" w:rsidRDefault="00B170CE" w:rsidP="00B170CE">
      <w:pPr>
        <w:pStyle w:val="Bezmezer"/>
        <w:jc w:val="both"/>
        <w:rPr>
          <w:rFonts w:asciiTheme="majorHAnsi" w:hAnsiTheme="majorHAnsi" w:cstheme="majorHAnsi"/>
        </w:rPr>
      </w:pPr>
      <w:r>
        <w:rPr>
          <w:rFonts w:asciiTheme="majorHAnsi" w:hAnsiTheme="majorHAnsi" w:cstheme="majorHAnsi"/>
        </w:rPr>
        <w:t>N</w:t>
      </w:r>
      <w:r w:rsidRPr="00E32DC7">
        <w:rPr>
          <w:rFonts w:asciiTheme="majorHAnsi" w:hAnsiTheme="majorHAnsi" w:cstheme="majorHAnsi"/>
        </w:rPr>
        <w:t xml:space="preserve">a </w:t>
      </w:r>
      <w:r>
        <w:rPr>
          <w:rFonts w:asciiTheme="majorHAnsi" w:hAnsiTheme="majorHAnsi" w:cstheme="majorHAnsi"/>
        </w:rPr>
        <w:t>konci</w:t>
      </w:r>
      <w:r w:rsidRPr="00E32DC7">
        <w:rPr>
          <w:rFonts w:asciiTheme="majorHAnsi" w:hAnsiTheme="majorHAnsi" w:cstheme="majorHAnsi"/>
        </w:rPr>
        <w:t xml:space="preserve"> roku 202</w:t>
      </w:r>
      <w:r>
        <w:rPr>
          <w:rFonts w:asciiTheme="majorHAnsi" w:hAnsiTheme="majorHAnsi" w:cstheme="majorHAnsi"/>
        </w:rPr>
        <w:t>3</w:t>
      </w:r>
      <w:r w:rsidRPr="00E32DC7">
        <w:rPr>
          <w:rFonts w:asciiTheme="majorHAnsi" w:hAnsiTheme="majorHAnsi" w:cstheme="majorHAnsi"/>
        </w:rPr>
        <w:t xml:space="preserve"> </w:t>
      </w:r>
      <w:r>
        <w:rPr>
          <w:rFonts w:asciiTheme="majorHAnsi" w:hAnsiTheme="majorHAnsi" w:cstheme="majorHAnsi"/>
        </w:rPr>
        <w:t xml:space="preserve">připravilo </w:t>
      </w:r>
      <w:r w:rsidRPr="003A30F0">
        <w:rPr>
          <w:rFonts w:asciiTheme="majorHAnsi" w:hAnsiTheme="majorHAnsi" w:cstheme="majorHAnsi"/>
        </w:rPr>
        <w:t>Ministerstvo průmyslu a</w:t>
      </w:r>
      <w:r w:rsidR="000F25DC">
        <w:rPr>
          <w:rFonts w:asciiTheme="majorHAnsi" w:hAnsiTheme="majorHAnsi" w:cstheme="majorHAnsi"/>
        </w:rPr>
        <w:t> </w:t>
      </w:r>
      <w:r w:rsidRPr="003A30F0">
        <w:rPr>
          <w:rFonts w:asciiTheme="majorHAnsi" w:hAnsiTheme="majorHAnsi" w:cstheme="majorHAnsi"/>
        </w:rPr>
        <w:t xml:space="preserve">obchodu </w:t>
      </w:r>
      <w:r>
        <w:rPr>
          <w:rFonts w:asciiTheme="majorHAnsi" w:hAnsiTheme="majorHAnsi" w:cstheme="majorHAnsi"/>
        </w:rPr>
        <w:t>spolu s</w:t>
      </w:r>
      <w:r w:rsidR="000F25DC">
        <w:rPr>
          <w:rFonts w:asciiTheme="majorHAnsi" w:hAnsiTheme="majorHAnsi" w:cstheme="majorHAnsi"/>
        </w:rPr>
        <w:t> </w:t>
      </w:r>
      <w:r>
        <w:rPr>
          <w:rFonts w:asciiTheme="majorHAnsi" w:hAnsiTheme="majorHAnsi" w:cstheme="majorHAnsi"/>
        </w:rPr>
        <w:t xml:space="preserve">partnery </w:t>
      </w:r>
      <w:r w:rsidRPr="00E32DC7">
        <w:rPr>
          <w:rFonts w:asciiTheme="majorHAnsi" w:hAnsiTheme="majorHAnsi" w:cstheme="majorHAnsi"/>
        </w:rPr>
        <w:t xml:space="preserve">novou koncepci podpory </w:t>
      </w:r>
      <w:r>
        <w:rPr>
          <w:rFonts w:asciiTheme="majorHAnsi" w:hAnsiTheme="majorHAnsi" w:cstheme="majorHAnsi"/>
        </w:rPr>
        <w:t>tuzemských exportních firem na zahraničních výstavách a</w:t>
      </w:r>
      <w:r w:rsidR="000F25DC">
        <w:rPr>
          <w:rFonts w:asciiTheme="majorHAnsi" w:hAnsiTheme="majorHAnsi" w:cstheme="majorHAnsi"/>
        </w:rPr>
        <w:t> </w:t>
      </w:r>
      <w:r>
        <w:rPr>
          <w:rFonts w:asciiTheme="majorHAnsi" w:hAnsiTheme="majorHAnsi" w:cstheme="majorHAnsi"/>
        </w:rPr>
        <w:t>veletrzích formou českých oficiálních účastí. Ty</w:t>
      </w:r>
      <w:r w:rsidRPr="00E32DC7">
        <w:rPr>
          <w:rFonts w:asciiTheme="majorHAnsi" w:hAnsiTheme="majorHAnsi" w:cstheme="majorHAnsi"/>
        </w:rPr>
        <w:t xml:space="preserve"> se </w:t>
      </w:r>
      <w:r>
        <w:rPr>
          <w:rFonts w:asciiTheme="majorHAnsi" w:hAnsiTheme="majorHAnsi" w:cstheme="majorHAnsi"/>
        </w:rPr>
        <w:t xml:space="preserve">budou více </w:t>
      </w:r>
      <w:r w:rsidRPr="00E32DC7">
        <w:rPr>
          <w:rFonts w:asciiTheme="majorHAnsi" w:hAnsiTheme="majorHAnsi" w:cstheme="majorHAnsi"/>
        </w:rPr>
        <w:t>soustřeď</w:t>
      </w:r>
      <w:r>
        <w:rPr>
          <w:rFonts w:asciiTheme="majorHAnsi" w:hAnsiTheme="majorHAnsi" w:cstheme="majorHAnsi"/>
        </w:rPr>
        <w:t xml:space="preserve">ovat </w:t>
      </w:r>
      <w:r w:rsidRPr="00E32DC7">
        <w:rPr>
          <w:rFonts w:asciiTheme="majorHAnsi" w:hAnsiTheme="majorHAnsi" w:cstheme="majorHAnsi"/>
        </w:rPr>
        <w:t>zejména na nejnadějnější sektory a</w:t>
      </w:r>
      <w:r w:rsidR="000F25DC">
        <w:rPr>
          <w:rFonts w:asciiTheme="majorHAnsi" w:hAnsiTheme="majorHAnsi" w:cstheme="majorHAnsi"/>
        </w:rPr>
        <w:t> </w:t>
      </w:r>
      <w:r w:rsidRPr="00E32DC7">
        <w:rPr>
          <w:rFonts w:asciiTheme="majorHAnsi" w:hAnsiTheme="majorHAnsi" w:cstheme="majorHAnsi"/>
        </w:rPr>
        <w:t>technologické domény</w:t>
      </w:r>
      <w:r>
        <w:rPr>
          <w:rFonts w:asciiTheme="majorHAnsi" w:hAnsiTheme="majorHAnsi" w:cstheme="majorHAnsi"/>
        </w:rPr>
        <w:t>, které nabízejí nejvyšší potenciál růstu exportu, etablování se na zahraničních trzích a</w:t>
      </w:r>
      <w:r w:rsidR="000F25DC">
        <w:rPr>
          <w:rFonts w:asciiTheme="majorHAnsi" w:hAnsiTheme="majorHAnsi" w:cstheme="majorHAnsi"/>
        </w:rPr>
        <w:t> </w:t>
      </w:r>
      <w:r>
        <w:rPr>
          <w:rFonts w:asciiTheme="majorHAnsi" w:hAnsiTheme="majorHAnsi" w:cstheme="majorHAnsi"/>
        </w:rPr>
        <w:t xml:space="preserve">dlouhodobé internacionalizace. </w:t>
      </w:r>
    </w:p>
    <w:p w14:paraId="63498798" w14:textId="5554C66D" w:rsidR="00B170CE" w:rsidRDefault="00B170CE" w:rsidP="00B170CE">
      <w:pPr>
        <w:pStyle w:val="Bezmezer"/>
        <w:jc w:val="both"/>
        <w:rPr>
          <w:rFonts w:asciiTheme="majorHAnsi" w:hAnsiTheme="majorHAnsi" w:cstheme="majorHAnsi"/>
        </w:rPr>
      </w:pPr>
      <w:r>
        <w:rPr>
          <w:rFonts w:asciiTheme="majorHAnsi" w:hAnsiTheme="majorHAnsi" w:cstheme="majorHAnsi"/>
        </w:rPr>
        <w:t>Z hlediska formy a</w:t>
      </w:r>
      <w:r w:rsidR="000F25DC">
        <w:rPr>
          <w:rFonts w:asciiTheme="majorHAnsi" w:hAnsiTheme="majorHAnsi" w:cstheme="majorHAnsi"/>
        </w:rPr>
        <w:t> </w:t>
      </w:r>
      <w:r>
        <w:rPr>
          <w:rFonts w:asciiTheme="majorHAnsi" w:hAnsiTheme="majorHAnsi" w:cstheme="majorHAnsi"/>
        </w:rPr>
        <w:t>marketingové propagace českých značek, ale i</w:t>
      </w:r>
      <w:r w:rsidR="000F25DC">
        <w:rPr>
          <w:rFonts w:asciiTheme="majorHAnsi" w:hAnsiTheme="majorHAnsi" w:cstheme="majorHAnsi"/>
        </w:rPr>
        <w:t> </w:t>
      </w:r>
      <w:r>
        <w:rPr>
          <w:rFonts w:asciiTheme="majorHAnsi" w:hAnsiTheme="majorHAnsi" w:cstheme="majorHAnsi"/>
        </w:rPr>
        <w:t>renomé České republiky jako takové, je </w:t>
      </w:r>
      <w:r w:rsidRPr="00E32DC7">
        <w:rPr>
          <w:rFonts w:asciiTheme="majorHAnsi" w:hAnsiTheme="majorHAnsi" w:cstheme="majorHAnsi"/>
        </w:rPr>
        <w:t>klade</w:t>
      </w:r>
      <w:r>
        <w:rPr>
          <w:rFonts w:asciiTheme="majorHAnsi" w:hAnsiTheme="majorHAnsi" w:cstheme="majorHAnsi"/>
        </w:rPr>
        <w:t xml:space="preserve">n </w:t>
      </w:r>
      <w:r w:rsidRPr="00E32DC7">
        <w:rPr>
          <w:rFonts w:asciiTheme="majorHAnsi" w:hAnsiTheme="majorHAnsi" w:cstheme="majorHAnsi"/>
        </w:rPr>
        <w:t>důraz na moderní prezentaci</w:t>
      </w:r>
      <w:r>
        <w:rPr>
          <w:rFonts w:asciiTheme="majorHAnsi" w:hAnsiTheme="majorHAnsi" w:cstheme="majorHAnsi"/>
        </w:rPr>
        <w:t xml:space="preserve"> </w:t>
      </w:r>
      <w:r w:rsidRPr="00E32DC7">
        <w:rPr>
          <w:rFonts w:asciiTheme="majorHAnsi" w:hAnsiTheme="majorHAnsi" w:cstheme="majorHAnsi"/>
        </w:rPr>
        <w:t xml:space="preserve">funkčních celků na vizuálně jednotných stáncích </w:t>
      </w:r>
      <w:r>
        <w:rPr>
          <w:rFonts w:asciiTheme="majorHAnsi" w:hAnsiTheme="majorHAnsi" w:cstheme="majorHAnsi"/>
        </w:rPr>
        <w:t>č</w:t>
      </w:r>
      <w:r w:rsidRPr="00E32DC7">
        <w:rPr>
          <w:rFonts w:asciiTheme="majorHAnsi" w:hAnsiTheme="majorHAnsi" w:cstheme="majorHAnsi"/>
        </w:rPr>
        <w:t>esk</w:t>
      </w:r>
      <w:r>
        <w:rPr>
          <w:rFonts w:asciiTheme="majorHAnsi" w:hAnsiTheme="majorHAnsi" w:cstheme="majorHAnsi"/>
        </w:rPr>
        <w:t xml:space="preserve">ých </w:t>
      </w:r>
      <w:r w:rsidRPr="00E32DC7">
        <w:rPr>
          <w:rFonts w:asciiTheme="majorHAnsi" w:hAnsiTheme="majorHAnsi" w:cstheme="majorHAnsi"/>
        </w:rPr>
        <w:t>oficiální</w:t>
      </w:r>
      <w:r>
        <w:rPr>
          <w:rFonts w:asciiTheme="majorHAnsi" w:hAnsiTheme="majorHAnsi" w:cstheme="majorHAnsi"/>
        </w:rPr>
        <w:t xml:space="preserve">ch </w:t>
      </w:r>
      <w:r w:rsidRPr="00E32DC7">
        <w:rPr>
          <w:rFonts w:asciiTheme="majorHAnsi" w:hAnsiTheme="majorHAnsi" w:cstheme="majorHAnsi"/>
        </w:rPr>
        <w:t>účast</w:t>
      </w:r>
      <w:r>
        <w:rPr>
          <w:rFonts w:asciiTheme="majorHAnsi" w:hAnsiTheme="majorHAnsi" w:cstheme="majorHAnsi"/>
        </w:rPr>
        <w:t>í</w:t>
      </w:r>
      <w:r w:rsidRPr="00E32DC7">
        <w:rPr>
          <w:rFonts w:asciiTheme="majorHAnsi" w:hAnsiTheme="majorHAnsi" w:cstheme="majorHAnsi"/>
        </w:rPr>
        <w:t xml:space="preserve">. </w:t>
      </w:r>
      <w:r>
        <w:rPr>
          <w:rFonts w:asciiTheme="majorHAnsi" w:hAnsiTheme="majorHAnsi" w:cstheme="majorHAnsi"/>
        </w:rPr>
        <w:t>Na místo podpory ad hoc exportu a</w:t>
      </w:r>
      <w:r w:rsidR="000F25DC">
        <w:rPr>
          <w:rFonts w:asciiTheme="majorHAnsi" w:hAnsiTheme="majorHAnsi" w:cstheme="majorHAnsi"/>
        </w:rPr>
        <w:t> </w:t>
      </w:r>
      <w:r>
        <w:rPr>
          <w:rFonts w:asciiTheme="majorHAnsi" w:hAnsiTheme="majorHAnsi" w:cstheme="majorHAnsi"/>
        </w:rPr>
        <w:t>jednotlivých výrobků a</w:t>
      </w:r>
      <w:r w:rsidR="000F25DC">
        <w:rPr>
          <w:rFonts w:asciiTheme="majorHAnsi" w:hAnsiTheme="majorHAnsi" w:cstheme="majorHAnsi"/>
        </w:rPr>
        <w:t> </w:t>
      </w:r>
      <w:r>
        <w:rPr>
          <w:rFonts w:asciiTheme="majorHAnsi" w:hAnsiTheme="majorHAnsi" w:cstheme="majorHAnsi"/>
        </w:rPr>
        <w:t>služeb je upřednostňována doménová i</w:t>
      </w:r>
      <w:r w:rsidR="000F25DC">
        <w:rPr>
          <w:rFonts w:asciiTheme="majorHAnsi" w:hAnsiTheme="majorHAnsi" w:cstheme="majorHAnsi"/>
        </w:rPr>
        <w:t> </w:t>
      </w:r>
      <w:r>
        <w:rPr>
          <w:rFonts w:asciiTheme="majorHAnsi" w:hAnsiTheme="majorHAnsi" w:cstheme="majorHAnsi"/>
        </w:rPr>
        <w:t>marketingová komplexita v</w:t>
      </w:r>
      <w:r w:rsidR="000F25DC">
        <w:rPr>
          <w:rFonts w:asciiTheme="majorHAnsi" w:hAnsiTheme="majorHAnsi" w:cstheme="majorHAnsi"/>
        </w:rPr>
        <w:t> </w:t>
      </w:r>
      <w:r>
        <w:rPr>
          <w:rFonts w:asciiTheme="majorHAnsi" w:hAnsiTheme="majorHAnsi" w:cstheme="majorHAnsi"/>
        </w:rPr>
        <w:t>prezentování „příběhů“ a</w:t>
      </w:r>
      <w:r w:rsidR="000F25DC">
        <w:rPr>
          <w:rFonts w:asciiTheme="majorHAnsi" w:hAnsiTheme="majorHAnsi" w:cstheme="majorHAnsi"/>
        </w:rPr>
        <w:t> </w:t>
      </w:r>
      <w:r>
        <w:rPr>
          <w:rFonts w:asciiTheme="majorHAnsi" w:hAnsiTheme="majorHAnsi" w:cstheme="majorHAnsi"/>
        </w:rPr>
        <w:t>doménových řešení, která představují požadovaný posun od dodavatelů jednotlivých prvků k</w:t>
      </w:r>
      <w:r w:rsidR="000F25DC">
        <w:rPr>
          <w:rFonts w:asciiTheme="majorHAnsi" w:hAnsiTheme="majorHAnsi" w:cstheme="majorHAnsi"/>
        </w:rPr>
        <w:t> </w:t>
      </w:r>
      <w:r>
        <w:rPr>
          <w:rFonts w:asciiTheme="majorHAnsi" w:hAnsiTheme="majorHAnsi" w:cstheme="majorHAnsi"/>
        </w:rPr>
        <w:t>systémovým integrátorům – generálním dodavatelům. Příkladem mohou být komplexní dodávky v</w:t>
      </w:r>
      <w:r w:rsidR="000F25DC">
        <w:rPr>
          <w:rFonts w:asciiTheme="majorHAnsi" w:hAnsiTheme="majorHAnsi" w:cstheme="majorHAnsi"/>
        </w:rPr>
        <w:t> </w:t>
      </w:r>
      <w:r>
        <w:rPr>
          <w:rFonts w:asciiTheme="majorHAnsi" w:hAnsiTheme="majorHAnsi" w:cstheme="majorHAnsi"/>
        </w:rPr>
        <w:t>leteckém průmyslu a</w:t>
      </w:r>
      <w:r w:rsidR="000F25DC">
        <w:rPr>
          <w:rFonts w:asciiTheme="majorHAnsi" w:hAnsiTheme="majorHAnsi" w:cstheme="majorHAnsi"/>
        </w:rPr>
        <w:t> </w:t>
      </w:r>
      <w:r>
        <w:rPr>
          <w:rFonts w:asciiTheme="majorHAnsi" w:hAnsiTheme="majorHAnsi" w:cstheme="majorHAnsi"/>
        </w:rPr>
        <w:t xml:space="preserve">systémy řízení letového provozu, řešení </w:t>
      </w:r>
      <w:r w:rsidR="00CC1688">
        <w:rPr>
          <w:rFonts w:asciiTheme="majorHAnsi" w:hAnsiTheme="majorHAnsi" w:cstheme="majorHAnsi"/>
        </w:rPr>
        <w:t>v</w:t>
      </w:r>
      <w:r w:rsidR="000F25DC">
        <w:rPr>
          <w:rFonts w:asciiTheme="majorHAnsi" w:hAnsiTheme="majorHAnsi" w:cstheme="majorHAnsi"/>
        </w:rPr>
        <w:t> </w:t>
      </w:r>
      <w:r w:rsidR="00CC1688">
        <w:rPr>
          <w:rFonts w:asciiTheme="majorHAnsi" w:hAnsiTheme="majorHAnsi" w:cstheme="majorHAnsi"/>
        </w:rPr>
        <w:t xml:space="preserve">oblasti </w:t>
      </w:r>
      <w:r>
        <w:rPr>
          <w:rFonts w:asciiTheme="majorHAnsi" w:hAnsiTheme="majorHAnsi" w:cstheme="majorHAnsi"/>
        </w:rPr>
        <w:t xml:space="preserve">smart </w:t>
      </w:r>
      <w:r>
        <w:rPr>
          <w:rFonts w:asciiTheme="majorHAnsi" w:hAnsiTheme="majorHAnsi" w:cstheme="majorHAnsi"/>
        </w:rPr>
        <w:lastRenderedPageBreak/>
        <w:t>cities</w:t>
      </w:r>
      <w:r w:rsidR="00CC1688">
        <w:rPr>
          <w:rFonts w:asciiTheme="majorHAnsi" w:hAnsiTheme="majorHAnsi" w:cstheme="majorHAnsi"/>
        </w:rPr>
        <w:t xml:space="preserve"> či</w:t>
      </w:r>
      <w:r>
        <w:rPr>
          <w:rFonts w:asciiTheme="majorHAnsi" w:hAnsiTheme="majorHAnsi" w:cstheme="majorHAnsi"/>
        </w:rPr>
        <w:t xml:space="preserve"> zdravotnických celků. Ve všech těchto příkladech lze propojit infrastrukturní, hardwarové, softwarové, personální, technologické a</w:t>
      </w:r>
      <w:r w:rsidR="000F25DC">
        <w:rPr>
          <w:rFonts w:asciiTheme="majorHAnsi" w:hAnsiTheme="majorHAnsi" w:cstheme="majorHAnsi"/>
        </w:rPr>
        <w:t> </w:t>
      </w:r>
      <w:r>
        <w:rPr>
          <w:rFonts w:asciiTheme="majorHAnsi" w:hAnsiTheme="majorHAnsi" w:cstheme="majorHAnsi"/>
        </w:rPr>
        <w:t>servisní dodávky širokého spektra českých firem, které spolupracují a</w:t>
      </w:r>
      <w:r w:rsidR="000F25DC">
        <w:rPr>
          <w:rFonts w:asciiTheme="majorHAnsi" w:hAnsiTheme="majorHAnsi" w:cstheme="majorHAnsi"/>
        </w:rPr>
        <w:t> </w:t>
      </w:r>
      <w:r>
        <w:rPr>
          <w:rFonts w:asciiTheme="majorHAnsi" w:hAnsiTheme="majorHAnsi" w:cstheme="majorHAnsi"/>
        </w:rPr>
        <w:t>vzájemně podporují své ukotvování na vysoce konkurenčních zahraničních trzích.</w:t>
      </w:r>
    </w:p>
    <w:p w14:paraId="340975EA" w14:textId="43D03AEB" w:rsidR="00485B75" w:rsidRDefault="00B170CE" w:rsidP="001379F1">
      <w:pPr>
        <w:pStyle w:val="Bezmezer"/>
        <w:jc w:val="both"/>
        <w:rPr>
          <w:rFonts w:asciiTheme="majorHAnsi" w:hAnsiTheme="majorHAnsi" w:cstheme="majorHAnsi"/>
        </w:rPr>
      </w:pPr>
      <w:r w:rsidRPr="00E32DC7">
        <w:rPr>
          <w:rFonts w:asciiTheme="majorHAnsi" w:hAnsiTheme="majorHAnsi" w:cstheme="majorHAnsi"/>
        </w:rPr>
        <w:t>V</w:t>
      </w:r>
      <w:r>
        <w:rPr>
          <w:rFonts w:asciiTheme="majorHAnsi" w:hAnsiTheme="majorHAnsi" w:cstheme="majorHAnsi"/>
        </w:rPr>
        <w:t> </w:t>
      </w:r>
      <w:r w:rsidRPr="00E32DC7">
        <w:rPr>
          <w:rFonts w:asciiTheme="majorHAnsi" w:hAnsiTheme="majorHAnsi" w:cstheme="majorHAnsi"/>
        </w:rPr>
        <w:t xml:space="preserve">návaznosti na novou koncepci Ministerstvo průmyslu obchodu </w:t>
      </w:r>
      <w:r>
        <w:rPr>
          <w:rFonts w:asciiTheme="majorHAnsi" w:hAnsiTheme="majorHAnsi" w:cstheme="majorHAnsi"/>
        </w:rPr>
        <w:t xml:space="preserve">rovněž </w:t>
      </w:r>
      <w:r w:rsidRPr="00E32DC7">
        <w:rPr>
          <w:rFonts w:asciiTheme="majorHAnsi" w:hAnsiTheme="majorHAnsi" w:cstheme="majorHAnsi"/>
        </w:rPr>
        <w:t xml:space="preserve">definovalo novou metodiku plánování </w:t>
      </w:r>
      <w:r>
        <w:rPr>
          <w:rFonts w:asciiTheme="majorHAnsi" w:hAnsiTheme="majorHAnsi" w:cstheme="majorHAnsi"/>
        </w:rPr>
        <w:t>a</w:t>
      </w:r>
      <w:r w:rsidR="000F25DC">
        <w:rPr>
          <w:rFonts w:asciiTheme="majorHAnsi" w:hAnsiTheme="majorHAnsi" w:cstheme="majorHAnsi"/>
        </w:rPr>
        <w:t> </w:t>
      </w:r>
      <w:r w:rsidRPr="00742A17">
        <w:rPr>
          <w:rFonts w:asciiTheme="majorHAnsi" w:hAnsiTheme="majorHAnsi" w:cstheme="majorHAnsi"/>
        </w:rPr>
        <w:t>hodnocení</w:t>
      </w:r>
      <w:r>
        <w:rPr>
          <w:rFonts w:asciiTheme="majorHAnsi" w:hAnsiTheme="majorHAnsi" w:cstheme="majorHAnsi"/>
        </w:rPr>
        <w:t xml:space="preserve"> </w:t>
      </w:r>
      <w:r w:rsidRPr="00E32DC7">
        <w:rPr>
          <w:rFonts w:asciiTheme="majorHAnsi" w:hAnsiTheme="majorHAnsi" w:cstheme="majorHAnsi"/>
        </w:rPr>
        <w:t>zahraničních veletržních účastí</w:t>
      </w:r>
      <w:r>
        <w:rPr>
          <w:rFonts w:asciiTheme="majorHAnsi" w:hAnsiTheme="majorHAnsi" w:cstheme="majorHAnsi"/>
        </w:rPr>
        <w:t xml:space="preserve">, </w:t>
      </w:r>
      <w:r w:rsidRPr="00E32DC7">
        <w:rPr>
          <w:rFonts w:asciiTheme="majorHAnsi" w:hAnsiTheme="majorHAnsi" w:cstheme="majorHAnsi"/>
        </w:rPr>
        <w:t>založenou na hodnocení efektivity</w:t>
      </w:r>
      <w:r>
        <w:rPr>
          <w:rFonts w:asciiTheme="majorHAnsi" w:hAnsiTheme="majorHAnsi" w:cstheme="majorHAnsi"/>
        </w:rPr>
        <w:t xml:space="preserve"> a</w:t>
      </w:r>
      <w:r w:rsidR="000F25DC">
        <w:rPr>
          <w:rFonts w:asciiTheme="majorHAnsi" w:hAnsiTheme="majorHAnsi" w:cstheme="majorHAnsi"/>
        </w:rPr>
        <w:t> </w:t>
      </w:r>
      <w:r>
        <w:rPr>
          <w:rFonts w:asciiTheme="majorHAnsi" w:hAnsiTheme="majorHAnsi" w:cstheme="majorHAnsi"/>
        </w:rPr>
        <w:t>realisticky dosažené kontraktace</w:t>
      </w:r>
      <w:r w:rsidRPr="00E32DC7">
        <w:rPr>
          <w:rFonts w:asciiTheme="majorHAnsi" w:hAnsiTheme="majorHAnsi" w:cstheme="majorHAnsi"/>
        </w:rPr>
        <w:t>, teritori</w:t>
      </w:r>
      <w:r>
        <w:rPr>
          <w:rFonts w:asciiTheme="majorHAnsi" w:hAnsiTheme="majorHAnsi" w:cstheme="majorHAnsi"/>
        </w:rPr>
        <w:t>álních a</w:t>
      </w:r>
      <w:r w:rsidR="000F25DC">
        <w:rPr>
          <w:rFonts w:asciiTheme="majorHAnsi" w:hAnsiTheme="majorHAnsi" w:cstheme="majorHAnsi"/>
        </w:rPr>
        <w:t> </w:t>
      </w:r>
      <w:r>
        <w:rPr>
          <w:rFonts w:asciiTheme="majorHAnsi" w:hAnsiTheme="majorHAnsi" w:cstheme="majorHAnsi"/>
        </w:rPr>
        <w:t xml:space="preserve">obchodně-politických </w:t>
      </w:r>
      <w:r w:rsidRPr="00E32DC7">
        <w:rPr>
          <w:rFonts w:asciiTheme="majorHAnsi" w:hAnsiTheme="majorHAnsi" w:cstheme="majorHAnsi"/>
        </w:rPr>
        <w:t>doporučení</w:t>
      </w:r>
      <w:r>
        <w:rPr>
          <w:rFonts w:asciiTheme="majorHAnsi" w:hAnsiTheme="majorHAnsi" w:cstheme="majorHAnsi"/>
        </w:rPr>
        <w:t xml:space="preserve">ch </w:t>
      </w:r>
      <w:r w:rsidRPr="00E32DC7">
        <w:rPr>
          <w:rFonts w:asciiTheme="majorHAnsi" w:hAnsiTheme="majorHAnsi" w:cstheme="majorHAnsi"/>
        </w:rPr>
        <w:t>a</w:t>
      </w:r>
      <w:r w:rsidR="000F25DC">
        <w:rPr>
          <w:rFonts w:asciiTheme="majorHAnsi" w:hAnsiTheme="majorHAnsi" w:cstheme="majorHAnsi"/>
        </w:rPr>
        <w:t> </w:t>
      </w:r>
      <w:r w:rsidRPr="00E32DC7">
        <w:rPr>
          <w:rFonts w:asciiTheme="majorHAnsi" w:hAnsiTheme="majorHAnsi" w:cstheme="majorHAnsi"/>
        </w:rPr>
        <w:t>zkušenost</w:t>
      </w:r>
      <w:r>
        <w:rPr>
          <w:rFonts w:asciiTheme="majorHAnsi" w:hAnsiTheme="majorHAnsi" w:cstheme="majorHAnsi"/>
        </w:rPr>
        <w:t xml:space="preserve">ech </w:t>
      </w:r>
      <w:r w:rsidRPr="00E32DC7">
        <w:rPr>
          <w:rFonts w:asciiTheme="majorHAnsi" w:hAnsiTheme="majorHAnsi" w:cstheme="majorHAnsi"/>
        </w:rPr>
        <w:t>agentur CzechTrade a</w:t>
      </w:r>
      <w:r w:rsidR="000F25DC">
        <w:rPr>
          <w:rFonts w:asciiTheme="majorHAnsi" w:hAnsiTheme="majorHAnsi" w:cstheme="majorHAnsi"/>
        </w:rPr>
        <w:t> </w:t>
      </w:r>
      <w:r w:rsidRPr="00E32DC7">
        <w:rPr>
          <w:rFonts w:asciiTheme="majorHAnsi" w:hAnsiTheme="majorHAnsi" w:cstheme="majorHAnsi"/>
        </w:rPr>
        <w:t>CzechInvest</w:t>
      </w:r>
      <w:r>
        <w:rPr>
          <w:rFonts w:asciiTheme="majorHAnsi" w:hAnsiTheme="majorHAnsi" w:cstheme="majorHAnsi"/>
        </w:rPr>
        <w:t xml:space="preserve"> z</w:t>
      </w:r>
      <w:r w:rsidR="000F25DC">
        <w:rPr>
          <w:rFonts w:asciiTheme="majorHAnsi" w:hAnsiTheme="majorHAnsi" w:cstheme="majorHAnsi"/>
        </w:rPr>
        <w:t> </w:t>
      </w:r>
      <w:r>
        <w:rPr>
          <w:rFonts w:asciiTheme="majorHAnsi" w:hAnsiTheme="majorHAnsi" w:cstheme="majorHAnsi"/>
        </w:rPr>
        <w:t>daného trhu</w:t>
      </w:r>
      <w:r w:rsidRPr="00E32DC7">
        <w:rPr>
          <w:rFonts w:asciiTheme="majorHAnsi" w:hAnsiTheme="majorHAnsi" w:cstheme="majorHAnsi"/>
        </w:rPr>
        <w:t xml:space="preserve">. </w:t>
      </w:r>
      <w:r>
        <w:rPr>
          <w:rFonts w:asciiTheme="majorHAnsi" w:hAnsiTheme="majorHAnsi" w:cstheme="majorHAnsi"/>
        </w:rPr>
        <w:t>V</w:t>
      </w:r>
      <w:r w:rsidR="000F25DC">
        <w:rPr>
          <w:rFonts w:asciiTheme="majorHAnsi" w:hAnsiTheme="majorHAnsi" w:cstheme="majorHAnsi"/>
        </w:rPr>
        <w:t> </w:t>
      </w:r>
      <w:r>
        <w:rPr>
          <w:rFonts w:asciiTheme="majorHAnsi" w:hAnsiTheme="majorHAnsi" w:cstheme="majorHAnsi"/>
        </w:rPr>
        <w:t xml:space="preserve">rámci veletržního výboru při </w:t>
      </w:r>
      <w:r w:rsidR="00CC1688">
        <w:rPr>
          <w:rFonts w:asciiTheme="majorHAnsi" w:hAnsiTheme="majorHAnsi" w:cstheme="majorHAnsi"/>
        </w:rPr>
        <w:t>Svazu průmyslu</w:t>
      </w:r>
      <w:r>
        <w:rPr>
          <w:rFonts w:asciiTheme="majorHAnsi" w:hAnsiTheme="majorHAnsi" w:cstheme="majorHAnsi"/>
        </w:rPr>
        <w:t xml:space="preserve"> ČR bylo rovněž definováno pravidlo realizace ideálně dvou klíčových akcí ročně za obor/doménu, které povede k</w:t>
      </w:r>
      <w:r w:rsidR="000F25DC">
        <w:rPr>
          <w:rFonts w:asciiTheme="majorHAnsi" w:hAnsiTheme="majorHAnsi" w:cstheme="majorHAnsi"/>
        </w:rPr>
        <w:t> </w:t>
      </w:r>
      <w:r>
        <w:rPr>
          <w:rFonts w:asciiTheme="majorHAnsi" w:hAnsiTheme="majorHAnsi" w:cstheme="majorHAnsi"/>
        </w:rPr>
        <w:t>prioritizaci nejefektivnějších zahraničních akcí. Akce, které nebudou realizovány v</w:t>
      </w:r>
      <w:r w:rsidR="000F25DC">
        <w:rPr>
          <w:rFonts w:asciiTheme="majorHAnsi" w:hAnsiTheme="majorHAnsi" w:cstheme="majorHAnsi"/>
        </w:rPr>
        <w:t> </w:t>
      </w:r>
      <w:r>
        <w:rPr>
          <w:rFonts w:asciiTheme="majorHAnsi" w:hAnsiTheme="majorHAnsi" w:cstheme="majorHAnsi"/>
        </w:rPr>
        <w:t>režimu českých oficiálních účastí pak mohou získat podporu jedním z</w:t>
      </w:r>
      <w:r w:rsidR="000F25DC">
        <w:rPr>
          <w:rFonts w:asciiTheme="majorHAnsi" w:hAnsiTheme="majorHAnsi" w:cstheme="majorHAnsi"/>
        </w:rPr>
        <w:t> </w:t>
      </w:r>
      <w:r>
        <w:rPr>
          <w:rFonts w:asciiTheme="majorHAnsi" w:hAnsiTheme="majorHAnsi" w:cstheme="majorHAnsi"/>
        </w:rPr>
        <w:t>dalších možných nástrojů, jako jsou veletrhy realizované agenturou CzechTrade, incomingové mise, projekty ekonomické diplomacie apod.</w:t>
      </w:r>
      <w:r w:rsidR="001379F1" w:rsidRPr="00E32DC7">
        <w:rPr>
          <w:rFonts w:asciiTheme="majorHAnsi" w:hAnsiTheme="majorHAnsi" w:cstheme="majorHAnsi"/>
        </w:rPr>
        <w:t xml:space="preserve"> </w:t>
      </w:r>
    </w:p>
    <w:p w14:paraId="7688DAEF" w14:textId="5F3DCAD2" w:rsidR="00186954" w:rsidRPr="00E32DC7" w:rsidRDefault="00186954" w:rsidP="000A2337">
      <w:pPr>
        <w:pStyle w:val="Nadpis2"/>
      </w:pPr>
      <w:bookmarkStart w:id="65" w:name="_Toc169181870"/>
      <w:r w:rsidRPr="00E32DC7">
        <w:t>Branding ČR a</w:t>
      </w:r>
      <w:r w:rsidR="000F25DC">
        <w:t> </w:t>
      </w:r>
      <w:r w:rsidRPr="00E32DC7">
        <w:t>jednotný vizuální styl státních institucí</w:t>
      </w:r>
      <w:bookmarkEnd w:id="65"/>
    </w:p>
    <w:p w14:paraId="1B6C2DC2" w14:textId="7D8F6697" w:rsidR="008007E6" w:rsidRPr="002A5DF6" w:rsidRDefault="00D917E3" w:rsidP="002A5DF6">
      <w:pPr>
        <w:pStyle w:val="Bezmezer"/>
        <w:jc w:val="both"/>
      </w:pPr>
      <w:r w:rsidRPr="002A5DF6">
        <w:t>Český národní branding</w:t>
      </w:r>
      <w:r w:rsidR="009B25B8" w:rsidRPr="002A5DF6">
        <w:t xml:space="preserve">, který </w:t>
      </w:r>
      <w:r w:rsidRPr="002A5DF6">
        <w:t>dlouhodobě nenabízí stabilní rámec</w:t>
      </w:r>
      <w:r w:rsidR="009B25B8" w:rsidRPr="002A5DF6">
        <w:t xml:space="preserve"> a</w:t>
      </w:r>
      <w:r w:rsidR="000F25DC">
        <w:t> </w:t>
      </w:r>
      <w:r w:rsidRPr="002A5DF6">
        <w:t>potýká se s</w:t>
      </w:r>
      <w:r w:rsidR="000F25DC">
        <w:t> </w:t>
      </w:r>
      <w:r w:rsidRPr="002A5DF6">
        <w:t>roztříštěnou identitou státních institucí</w:t>
      </w:r>
      <w:r w:rsidR="009B25B8" w:rsidRPr="002A5DF6">
        <w:t>, se negativně podepisuje na prezentaci česk</w:t>
      </w:r>
      <w:r w:rsidR="00537CE1">
        <w:t>ých</w:t>
      </w:r>
      <w:r w:rsidR="009B25B8" w:rsidRPr="002A5DF6">
        <w:t xml:space="preserve"> znač</w:t>
      </w:r>
      <w:r w:rsidR="00537CE1">
        <w:t>e</w:t>
      </w:r>
      <w:r w:rsidR="009B25B8" w:rsidRPr="002A5DF6">
        <w:t>k a</w:t>
      </w:r>
      <w:r w:rsidR="000F25DC">
        <w:t> </w:t>
      </w:r>
      <w:r w:rsidR="009B25B8" w:rsidRPr="002A5DF6">
        <w:t>vývozců v</w:t>
      </w:r>
      <w:r w:rsidR="000F25DC">
        <w:t> </w:t>
      </w:r>
      <w:r w:rsidR="009B25B8" w:rsidRPr="002A5DF6">
        <w:t xml:space="preserve">zahraničí. </w:t>
      </w:r>
      <w:r w:rsidR="002206A1" w:rsidRPr="002A5DF6">
        <w:t xml:space="preserve">Na základě konsensu </w:t>
      </w:r>
      <w:r w:rsidR="008007E6" w:rsidRPr="002A5DF6">
        <w:t>členů</w:t>
      </w:r>
      <w:r w:rsidR="002206A1" w:rsidRPr="002A5DF6">
        <w:t xml:space="preserve"> Pracovní skupiny pro prezentaci České republiky v</w:t>
      </w:r>
      <w:r w:rsidR="000F25DC">
        <w:t> </w:t>
      </w:r>
      <w:r w:rsidR="002206A1" w:rsidRPr="002A5DF6">
        <w:t>zahraničí byly v</w:t>
      </w:r>
      <w:r w:rsidR="000F25DC">
        <w:t> </w:t>
      </w:r>
      <w:r w:rsidR="002206A1" w:rsidRPr="002A5DF6">
        <w:t xml:space="preserve">roce 2023 iniciovány snahy </w:t>
      </w:r>
      <w:r w:rsidR="008007E6" w:rsidRPr="002A5DF6">
        <w:t>o</w:t>
      </w:r>
      <w:r w:rsidR="000F25DC">
        <w:t> </w:t>
      </w:r>
      <w:r w:rsidR="008007E6" w:rsidRPr="002A5DF6">
        <w:t>vytvoření jednotného vizuálního stylu</w:t>
      </w:r>
      <w:r w:rsidR="002A5DF6">
        <w:t xml:space="preserve"> (JVS)</w:t>
      </w:r>
      <w:r w:rsidR="008007E6" w:rsidRPr="002A5DF6">
        <w:t>, který zvýší úroveň propagace státu v</w:t>
      </w:r>
      <w:r w:rsidR="000F25DC">
        <w:t> </w:t>
      </w:r>
      <w:r w:rsidR="008007E6" w:rsidRPr="002A5DF6">
        <w:t>zahraničí i</w:t>
      </w:r>
      <w:r w:rsidR="000F25DC">
        <w:t> </w:t>
      </w:r>
      <w:r w:rsidR="008007E6" w:rsidRPr="002A5DF6">
        <w:t>v tuzemsku.</w:t>
      </w:r>
      <w:r w:rsidR="002206A1" w:rsidRPr="002A5DF6">
        <w:t xml:space="preserve"> </w:t>
      </w:r>
      <w:r w:rsidR="008007E6" w:rsidRPr="002A5DF6">
        <w:t xml:space="preserve">Jako výchozí materiál posloužila publikace </w:t>
      </w:r>
      <w:r w:rsidR="00552793">
        <w:t xml:space="preserve">Ondřeje Kafky vydaná </w:t>
      </w:r>
      <w:r w:rsidR="008007E6" w:rsidRPr="002A5DF6">
        <w:t>Uni</w:t>
      </w:r>
      <w:r w:rsidR="00552793">
        <w:t>í</w:t>
      </w:r>
      <w:r w:rsidR="008007E6" w:rsidRPr="002A5DF6">
        <w:t xml:space="preserve"> grafického designu „Jednotný vizuální styl České republiky – Analýza pro zavedení sdílené identity vlády, ministerstev a</w:t>
      </w:r>
      <w:r w:rsidR="000F25DC">
        <w:t> </w:t>
      </w:r>
      <w:r w:rsidR="008007E6" w:rsidRPr="002A5DF6">
        <w:t xml:space="preserve">dalších orgánů státní správy České republiky“. </w:t>
      </w:r>
    </w:p>
    <w:p w14:paraId="050472D9" w14:textId="6D7A62AA" w:rsidR="00940A21" w:rsidRPr="005C45B4" w:rsidRDefault="002A5DF6" w:rsidP="00940A21">
      <w:pPr>
        <w:pStyle w:val="Bezmezer"/>
        <w:jc w:val="both"/>
      </w:pPr>
      <w:r w:rsidRPr="002A5DF6">
        <w:t>Na úrovni Úřadu vlády ČR byla následně ve spolupráci s</w:t>
      </w:r>
      <w:r w:rsidR="000F25DC">
        <w:t> </w:t>
      </w:r>
      <w:r w:rsidRPr="002A5DF6">
        <w:t>dalšími partnery zpracována a</w:t>
      </w:r>
      <w:r w:rsidR="000F25DC">
        <w:t> </w:t>
      </w:r>
      <w:r w:rsidRPr="002A5DF6">
        <w:t>vládou projednána analýza možností dalšího postupu. Návazně na to vládní usnesení č. 984 z</w:t>
      </w:r>
      <w:r w:rsidR="000F25DC">
        <w:t> </w:t>
      </w:r>
      <w:r w:rsidRPr="002A5DF6">
        <w:t xml:space="preserve">20. </w:t>
      </w:r>
      <w:r>
        <w:t>12.</w:t>
      </w:r>
      <w:r w:rsidRPr="002A5DF6">
        <w:t xml:space="preserve"> 2023 uložilo MZV společně s</w:t>
      </w:r>
      <w:r w:rsidR="000F25DC">
        <w:t> </w:t>
      </w:r>
      <w:r w:rsidRPr="002A5DF6">
        <w:t>MPO, MMR a</w:t>
      </w:r>
      <w:r w:rsidR="000F25DC">
        <w:t> </w:t>
      </w:r>
      <w:r w:rsidRPr="002A5DF6">
        <w:t xml:space="preserve">DIA, aby zajistily vytvoření </w:t>
      </w:r>
      <w:r>
        <w:t>JVS</w:t>
      </w:r>
      <w:r w:rsidRPr="002A5DF6">
        <w:t xml:space="preserve"> pro ústřední orgány státní správy předloži</w:t>
      </w:r>
      <w:r>
        <w:t>ly</w:t>
      </w:r>
      <w:r w:rsidRPr="002A5DF6">
        <w:t xml:space="preserve"> jej vládě ke schválení do 31.</w:t>
      </w:r>
      <w:r w:rsidR="00552793">
        <w:t xml:space="preserve"> </w:t>
      </w:r>
      <w:r>
        <w:t>12.</w:t>
      </w:r>
      <w:r w:rsidR="00552793">
        <w:t xml:space="preserve"> </w:t>
      </w:r>
      <w:r w:rsidRPr="002A5DF6">
        <w:t>2025.</w:t>
      </w:r>
      <w:r w:rsidR="00552793">
        <w:t xml:space="preserve"> </w:t>
      </w:r>
      <w:r>
        <w:t>V</w:t>
      </w:r>
      <w:r w:rsidR="000F25DC">
        <w:t> </w:t>
      </w:r>
      <w:r>
        <w:t xml:space="preserve">roce </w:t>
      </w:r>
      <w:r w:rsidR="009853AA" w:rsidRPr="009853AA">
        <w:t xml:space="preserve">2024 </w:t>
      </w:r>
      <w:r>
        <w:t xml:space="preserve">je </w:t>
      </w:r>
      <w:r w:rsidR="00552793">
        <w:t>plánováno vysoutěžení JVS a</w:t>
      </w:r>
      <w:r w:rsidR="000F25DC">
        <w:t> </w:t>
      </w:r>
      <w:r w:rsidR="00552793">
        <w:t>testování šablon design systému a</w:t>
      </w:r>
      <w:r w:rsidR="000F25DC">
        <w:t> </w:t>
      </w:r>
      <w:r w:rsidR="00552793">
        <w:t>v roce 2025 rozpracování vítězného JVS a</w:t>
      </w:r>
      <w:r w:rsidR="000F25DC">
        <w:t> </w:t>
      </w:r>
      <w:r w:rsidR="00552793">
        <w:t>jeho předložení vládě spolu s</w:t>
      </w:r>
      <w:r w:rsidR="000F25DC">
        <w:t> </w:t>
      </w:r>
      <w:r w:rsidR="00552793">
        <w:t xml:space="preserve">plánem implementace. </w:t>
      </w:r>
      <w:r w:rsidR="00940A21" w:rsidRPr="005C45B4">
        <w:t>Komise pro jednotnou prezentaci se pravidelně schází i v roce 2024. MZV v červnu/červenci 2024 vybere odborného garanta pro zajištění veřejné soutěže na Jednotný vizuální styl ústředních orgánů státní správy. I přes to, že termín stanovený vládou je prosinec 2025 se MZV ve spolupráci s MPO a MMR pokusí tento termín zkrátit a návrh vládě předložit dříve.</w:t>
      </w:r>
    </w:p>
    <w:p w14:paraId="21271C16" w14:textId="64F8B461" w:rsidR="00355E38" w:rsidRDefault="00940A21" w:rsidP="009853AA">
      <w:pPr>
        <w:pStyle w:val="Bezmezer"/>
        <w:jc w:val="both"/>
      </w:pPr>
      <w:r w:rsidRPr="005C45B4">
        <w:t>V oblasti rozvojové spolupráce bylo během roku 2023 vysoutěženo od dubna 2024 zavedeno nové jednotné logo Czech Aid, zastřešující veškeré aktivity realizované z prostředků na rozvojovou, transformační a humanitární asistenci.</w:t>
      </w:r>
      <w:r>
        <w:t xml:space="preserve">   </w:t>
      </w:r>
      <w:r w:rsidR="00552793">
        <w:t xml:space="preserve"> </w:t>
      </w:r>
    </w:p>
    <w:p w14:paraId="7B3D94F9" w14:textId="63CF188D" w:rsidR="00186954" w:rsidRPr="00E32DC7" w:rsidRDefault="00186954" w:rsidP="000A2337">
      <w:pPr>
        <w:pStyle w:val="Nadpis2"/>
      </w:pPr>
      <w:bookmarkStart w:id="66" w:name="_Toc169181871"/>
      <w:r w:rsidRPr="00E32DC7">
        <w:t>Analýza a</w:t>
      </w:r>
      <w:r w:rsidR="000F25DC">
        <w:t> </w:t>
      </w:r>
      <w:r w:rsidRPr="00E32DC7">
        <w:t>optimalizace institucionálního uspořádání</w:t>
      </w:r>
      <w:r w:rsidR="001060EC">
        <w:t xml:space="preserve"> exportního financování</w:t>
      </w:r>
      <w:bookmarkEnd w:id="66"/>
      <w:r w:rsidR="001060EC">
        <w:t xml:space="preserve"> </w:t>
      </w:r>
    </w:p>
    <w:p w14:paraId="54D9AD64" w14:textId="1E14F1C5" w:rsidR="00581893" w:rsidRPr="00E32DC7" w:rsidRDefault="002F62F8" w:rsidP="00581893">
      <w:pPr>
        <w:pStyle w:val="Bezmezer"/>
        <w:jc w:val="both"/>
        <w:rPr>
          <w:rFonts w:asciiTheme="majorHAnsi" w:hAnsiTheme="majorHAnsi" w:cstheme="majorHAnsi"/>
        </w:rPr>
      </w:pPr>
      <w:r w:rsidRPr="00E32DC7">
        <w:rPr>
          <w:rFonts w:asciiTheme="majorHAnsi" w:hAnsiTheme="majorHAnsi" w:cstheme="majorHAnsi"/>
        </w:rPr>
        <w:t>V rámci optimalizace institucionálního uspořádání a</w:t>
      </w:r>
      <w:r w:rsidR="000F25DC">
        <w:rPr>
          <w:rFonts w:asciiTheme="majorHAnsi" w:hAnsiTheme="majorHAnsi" w:cstheme="majorHAnsi"/>
        </w:rPr>
        <w:t> </w:t>
      </w:r>
      <w:r w:rsidR="001446F4" w:rsidRPr="00E32DC7">
        <w:rPr>
          <w:rFonts w:asciiTheme="majorHAnsi" w:hAnsiTheme="majorHAnsi" w:cstheme="majorHAnsi"/>
        </w:rPr>
        <w:t xml:space="preserve">efektivnějšího poskytování </w:t>
      </w:r>
      <w:r w:rsidRPr="00E32DC7">
        <w:rPr>
          <w:rFonts w:asciiTheme="majorHAnsi" w:hAnsiTheme="majorHAnsi" w:cstheme="majorHAnsi"/>
        </w:rPr>
        <w:t>služeb</w:t>
      </w:r>
      <w:r w:rsidR="001446F4" w:rsidRPr="00E32DC7">
        <w:rPr>
          <w:rFonts w:asciiTheme="majorHAnsi" w:hAnsiTheme="majorHAnsi" w:cstheme="majorHAnsi"/>
        </w:rPr>
        <w:t xml:space="preserve"> exportního financování</w:t>
      </w:r>
      <w:r w:rsidRPr="00E32DC7">
        <w:rPr>
          <w:rFonts w:asciiTheme="majorHAnsi" w:hAnsiTheme="majorHAnsi" w:cstheme="majorHAnsi"/>
        </w:rPr>
        <w:t xml:space="preserve"> došlo u</w:t>
      </w:r>
      <w:r w:rsidR="00581893" w:rsidRPr="00E32DC7">
        <w:rPr>
          <w:rFonts w:asciiTheme="majorHAnsi" w:hAnsiTheme="majorHAnsi" w:cstheme="majorHAnsi"/>
        </w:rPr>
        <w:t xml:space="preserve">snesením vlády </w:t>
      </w:r>
      <w:r w:rsidRPr="00E32DC7">
        <w:rPr>
          <w:rFonts w:asciiTheme="majorHAnsi" w:hAnsiTheme="majorHAnsi" w:cstheme="majorHAnsi"/>
        </w:rPr>
        <w:t xml:space="preserve">č. 909 ze </w:t>
      </w:r>
      <w:r w:rsidR="00581893" w:rsidRPr="00E32DC7">
        <w:rPr>
          <w:rFonts w:asciiTheme="majorHAnsi" w:hAnsiTheme="majorHAnsi" w:cstheme="majorHAnsi"/>
        </w:rPr>
        <w:t>dne 29. listopadu 2023</w:t>
      </w:r>
      <w:r w:rsidRPr="00E32DC7">
        <w:rPr>
          <w:rFonts w:asciiTheme="majorHAnsi" w:hAnsiTheme="majorHAnsi" w:cstheme="majorHAnsi"/>
        </w:rPr>
        <w:t xml:space="preserve"> k</w:t>
      </w:r>
      <w:r w:rsidR="000F25DC">
        <w:rPr>
          <w:rFonts w:asciiTheme="majorHAnsi" w:hAnsiTheme="majorHAnsi" w:cstheme="majorHAnsi"/>
        </w:rPr>
        <w:t> </w:t>
      </w:r>
      <w:r w:rsidR="00581893" w:rsidRPr="00E32DC7">
        <w:rPr>
          <w:rFonts w:asciiTheme="majorHAnsi" w:hAnsiTheme="majorHAnsi" w:cstheme="majorHAnsi"/>
        </w:rPr>
        <w:t>zahájení integračního procesu N</w:t>
      </w:r>
      <w:r w:rsidRPr="00E32DC7">
        <w:rPr>
          <w:rFonts w:asciiTheme="majorHAnsi" w:hAnsiTheme="majorHAnsi" w:cstheme="majorHAnsi"/>
        </w:rPr>
        <w:t>árodní rozvojové banky (N</w:t>
      </w:r>
      <w:r w:rsidR="00581893" w:rsidRPr="00E32DC7">
        <w:rPr>
          <w:rFonts w:asciiTheme="majorHAnsi" w:hAnsiTheme="majorHAnsi" w:cstheme="majorHAnsi"/>
        </w:rPr>
        <w:t>RB</w:t>
      </w:r>
      <w:r w:rsidRPr="00E32DC7">
        <w:rPr>
          <w:rFonts w:asciiTheme="majorHAnsi" w:hAnsiTheme="majorHAnsi" w:cstheme="majorHAnsi"/>
        </w:rPr>
        <w:t>) a</w:t>
      </w:r>
      <w:r w:rsidR="000F25DC">
        <w:rPr>
          <w:rFonts w:asciiTheme="majorHAnsi" w:hAnsiTheme="majorHAnsi" w:cstheme="majorHAnsi"/>
        </w:rPr>
        <w:t> </w:t>
      </w:r>
      <w:r w:rsidRPr="00E32DC7">
        <w:rPr>
          <w:rFonts w:asciiTheme="majorHAnsi" w:hAnsiTheme="majorHAnsi" w:cstheme="majorHAnsi"/>
        </w:rPr>
        <w:t>České exportní banky</w:t>
      </w:r>
      <w:r w:rsidR="001446F4" w:rsidRPr="00E32DC7">
        <w:rPr>
          <w:rFonts w:asciiTheme="majorHAnsi" w:hAnsiTheme="majorHAnsi" w:cstheme="majorHAnsi"/>
        </w:rPr>
        <w:t xml:space="preserve"> (ČEB) formou vlastnické konsolidace ČEB jako 100% dceřiné společnosti NRB. V</w:t>
      </w:r>
      <w:r w:rsidR="000F25DC">
        <w:rPr>
          <w:rFonts w:asciiTheme="majorHAnsi" w:hAnsiTheme="majorHAnsi" w:cstheme="majorHAnsi"/>
        </w:rPr>
        <w:t> </w:t>
      </w:r>
      <w:r w:rsidR="001446F4" w:rsidRPr="00E32DC7">
        <w:rPr>
          <w:rFonts w:asciiTheme="majorHAnsi" w:hAnsiTheme="majorHAnsi" w:cstheme="majorHAnsi"/>
        </w:rPr>
        <w:t>návaznosti na to byly připraveny v</w:t>
      </w:r>
      <w:r w:rsidR="00581893" w:rsidRPr="00E32DC7">
        <w:rPr>
          <w:rFonts w:asciiTheme="majorHAnsi" w:hAnsiTheme="majorHAnsi" w:cstheme="majorHAnsi"/>
        </w:rPr>
        <w:t>ládní návrh zákona o</w:t>
      </w:r>
      <w:r w:rsidR="000F25DC">
        <w:rPr>
          <w:rFonts w:asciiTheme="majorHAnsi" w:hAnsiTheme="majorHAnsi" w:cstheme="majorHAnsi"/>
        </w:rPr>
        <w:t> </w:t>
      </w:r>
      <w:r w:rsidR="00581893" w:rsidRPr="00E32DC7">
        <w:rPr>
          <w:rFonts w:asciiTheme="majorHAnsi" w:hAnsiTheme="majorHAnsi" w:cstheme="majorHAnsi"/>
        </w:rPr>
        <w:t>Národní rozvojové bance a</w:t>
      </w:r>
      <w:r w:rsidR="000F25DC">
        <w:rPr>
          <w:rFonts w:asciiTheme="majorHAnsi" w:hAnsiTheme="majorHAnsi" w:cstheme="majorHAnsi"/>
        </w:rPr>
        <w:t> </w:t>
      </w:r>
      <w:r w:rsidR="00581893" w:rsidRPr="00E32DC7">
        <w:rPr>
          <w:rFonts w:asciiTheme="majorHAnsi" w:hAnsiTheme="majorHAnsi" w:cstheme="majorHAnsi"/>
        </w:rPr>
        <w:t>dále vládní návrh zákona, kterým se mění některé zákony v</w:t>
      </w:r>
      <w:r w:rsidR="000F25DC">
        <w:rPr>
          <w:rFonts w:asciiTheme="majorHAnsi" w:hAnsiTheme="majorHAnsi" w:cstheme="majorHAnsi"/>
        </w:rPr>
        <w:t> </w:t>
      </w:r>
      <w:r w:rsidR="00581893" w:rsidRPr="00E32DC7">
        <w:rPr>
          <w:rFonts w:asciiTheme="majorHAnsi" w:hAnsiTheme="majorHAnsi" w:cstheme="majorHAnsi"/>
        </w:rPr>
        <w:t>souvislosti s</w:t>
      </w:r>
      <w:r w:rsidR="000F25DC">
        <w:rPr>
          <w:rFonts w:asciiTheme="majorHAnsi" w:hAnsiTheme="majorHAnsi" w:cstheme="majorHAnsi"/>
        </w:rPr>
        <w:t> </w:t>
      </w:r>
      <w:r w:rsidR="00581893" w:rsidRPr="00E32DC7">
        <w:rPr>
          <w:rFonts w:asciiTheme="majorHAnsi" w:hAnsiTheme="majorHAnsi" w:cstheme="majorHAnsi"/>
        </w:rPr>
        <w:t>přijetím zákona o</w:t>
      </w:r>
      <w:r w:rsidR="000F25DC">
        <w:rPr>
          <w:rFonts w:asciiTheme="majorHAnsi" w:hAnsiTheme="majorHAnsi" w:cstheme="majorHAnsi"/>
        </w:rPr>
        <w:t> </w:t>
      </w:r>
      <w:r w:rsidR="00581893" w:rsidRPr="00E32DC7">
        <w:rPr>
          <w:rFonts w:asciiTheme="majorHAnsi" w:hAnsiTheme="majorHAnsi" w:cstheme="majorHAnsi"/>
        </w:rPr>
        <w:t>Národní rozvojové bance, jehož součástí je rovněž novelizace zákona č. 58/1995 Sb., o</w:t>
      </w:r>
      <w:r w:rsidR="000F25DC">
        <w:rPr>
          <w:rFonts w:asciiTheme="majorHAnsi" w:hAnsiTheme="majorHAnsi" w:cstheme="majorHAnsi"/>
        </w:rPr>
        <w:t> </w:t>
      </w:r>
      <w:r w:rsidR="00581893" w:rsidRPr="00E32DC7">
        <w:rPr>
          <w:rFonts w:asciiTheme="majorHAnsi" w:hAnsiTheme="majorHAnsi" w:cstheme="majorHAnsi"/>
        </w:rPr>
        <w:t>financování a</w:t>
      </w:r>
      <w:r w:rsidR="000F25DC">
        <w:rPr>
          <w:rFonts w:asciiTheme="majorHAnsi" w:hAnsiTheme="majorHAnsi" w:cstheme="majorHAnsi"/>
        </w:rPr>
        <w:t> </w:t>
      </w:r>
      <w:r w:rsidR="00581893" w:rsidRPr="00E32DC7">
        <w:rPr>
          <w:rFonts w:asciiTheme="majorHAnsi" w:hAnsiTheme="majorHAnsi" w:cstheme="majorHAnsi"/>
        </w:rPr>
        <w:t xml:space="preserve">pojišťování vývozu se státní podporou, </w:t>
      </w:r>
      <w:r w:rsidR="001446F4" w:rsidRPr="00E32DC7">
        <w:rPr>
          <w:rFonts w:asciiTheme="majorHAnsi" w:hAnsiTheme="majorHAnsi" w:cstheme="majorHAnsi"/>
        </w:rPr>
        <w:t xml:space="preserve">které byly </w:t>
      </w:r>
      <w:r w:rsidR="00581893" w:rsidRPr="00E32DC7">
        <w:rPr>
          <w:rFonts w:asciiTheme="majorHAnsi" w:hAnsiTheme="majorHAnsi" w:cstheme="majorHAnsi"/>
        </w:rPr>
        <w:t>po schválení vládou dne 9. května 2024 postoupeny Poslanecké sněmovně a</w:t>
      </w:r>
      <w:r w:rsidR="000F25DC">
        <w:rPr>
          <w:rFonts w:asciiTheme="majorHAnsi" w:hAnsiTheme="majorHAnsi" w:cstheme="majorHAnsi"/>
        </w:rPr>
        <w:t> </w:t>
      </w:r>
      <w:r w:rsidR="00581893" w:rsidRPr="00E32DC7">
        <w:rPr>
          <w:rFonts w:asciiTheme="majorHAnsi" w:hAnsiTheme="majorHAnsi" w:cstheme="majorHAnsi"/>
        </w:rPr>
        <w:t>jejich projednání v</w:t>
      </w:r>
      <w:r w:rsidR="000F25DC">
        <w:rPr>
          <w:rFonts w:asciiTheme="majorHAnsi" w:hAnsiTheme="majorHAnsi" w:cstheme="majorHAnsi"/>
        </w:rPr>
        <w:t> </w:t>
      </w:r>
      <w:r w:rsidR="00581893" w:rsidRPr="00E32DC7">
        <w:rPr>
          <w:rFonts w:asciiTheme="majorHAnsi" w:hAnsiTheme="majorHAnsi" w:cstheme="majorHAnsi"/>
        </w:rPr>
        <w:t>1. čtení se očekává na probíhající schůzi PSP ČR (přelom května a</w:t>
      </w:r>
      <w:r w:rsidR="000F25DC">
        <w:rPr>
          <w:rFonts w:asciiTheme="majorHAnsi" w:hAnsiTheme="majorHAnsi" w:cstheme="majorHAnsi"/>
        </w:rPr>
        <w:t> </w:t>
      </w:r>
      <w:r w:rsidR="00581893" w:rsidRPr="00E32DC7">
        <w:rPr>
          <w:rFonts w:asciiTheme="majorHAnsi" w:hAnsiTheme="majorHAnsi" w:cstheme="majorHAnsi"/>
        </w:rPr>
        <w:t>června</w:t>
      </w:r>
      <w:r w:rsidR="001446F4" w:rsidRPr="00E32DC7">
        <w:rPr>
          <w:rFonts w:asciiTheme="majorHAnsi" w:hAnsiTheme="majorHAnsi" w:cstheme="majorHAnsi"/>
        </w:rPr>
        <w:t xml:space="preserve"> 2024</w:t>
      </w:r>
      <w:r w:rsidR="00581893" w:rsidRPr="00E32DC7">
        <w:rPr>
          <w:rFonts w:asciiTheme="majorHAnsi" w:hAnsiTheme="majorHAnsi" w:cstheme="majorHAnsi"/>
        </w:rPr>
        <w:t>). Po ukončení legislativního procesu a</w:t>
      </w:r>
      <w:r w:rsidR="000F25DC">
        <w:rPr>
          <w:rFonts w:asciiTheme="majorHAnsi" w:hAnsiTheme="majorHAnsi" w:cstheme="majorHAnsi"/>
        </w:rPr>
        <w:t> </w:t>
      </w:r>
      <w:r w:rsidR="00581893" w:rsidRPr="00E32DC7">
        <w:rPr>
          <w:rFonts w:asciiTheme="majorHAnsi" w:hAnsiTheme="majorHAnsi" w:cstheme="majorHAnsi"/>
        </w:rPr>
        <w:t xml:space="preserve">nabytí účinnosti </w:t>
      </w:r>
      <w:r w:rsidR="001446F4" w:rsidRPr="00E32DC7">
        <w:rPr>
          <w:rFonts w:asciiTheme="majorHAnsi" w:hAnsiTheme="majorHAnsi" w:cstheme="majorHAnsi"/>
        </w:rPr>
        <w:t xml:space="preserve">uvedených </w:t>
      </w:r>
      <w:r w:rsidR="00581893" w:rsidRPr="00E32DC7">
        <w:rPr>
          <w:rFonts w:asciiTheme="majorHAnsi" w:hAnsiTheme="majorHAnsi" w:cstheme="majorHAnsi"/>
        </w:rPr>
        <w:t>zákonů bude možné propojení ČEB a</w:t>
      </w:r>
      <w:r w:rsidR="000F25DC">
        <w:rPr>
          <w:rFonts w:asciiTheme="majorHAnsi" w:hAnsiTheme="majorHAnsi" w:cstheme="majorHAnsi"/>
        </w:rPr>
        <w:t> </w:t>
      </w:r>
      <w:r w:rsidR="00581893" w:rsidRPr="00E32DC7">
        <w:rPr>
          <w:rFonts w:asciiTheme="majorHAnsi" w:hAnsiTheme="majorHAnsi" w:cstheme="majorHAnsi"/>
        </w:rPr>
        <w:t>NRB</w:t>
      </w:r>
      <w:r w:rsidR="001446F4" w:rsidRPr="00E32DC7">
        <w:rPr>
          <w:rFonts w:asciiTheme="majorHAnsi" w:hAnsiTheme="majorHAnsi" w:cstheme="majorHAnsi"/>
        </w:rPr>
        <w:t xml:space="preserve"> zrealizovat</w:t>
      </w:r>
      <w:r w:rsidR="00581893" w:rsidRPr="00E32DC7">
        <w:rPr>
          <w:rFonts w:asciiTheme="majorHAnsi" w:hAnsiTheme="majorHAnsi" w:cstheme="majorHAnsi"/>
        </w:rPr>
        <w:t>.</w:t>
      </w:r>
    </w:p>
    <w:p w14:paraId="164A25E2" w14:textId="21E8BDC8" w:rsidR="00186954" w:rsidRPr="00E32DC7" w:rsidRDefault="00186954" w:rsidP="000A2337">
      <w:pPr>
        <w:pStyle w:val="Nadpis2"/>
      </w:pPr>
      <w:bookmarkStart w:id="67" w:name="_Toc169181872"/>
      <w:r w:rsidRPr="00E32DC7">
        <w:t>Revize produktového portfolia exportního financování a</w:t>
      </w:r>
      <w:r w:rsidR="000F25DC">
        <w:t> </w:t>
      </w:r>
      <w:r w:rsidRPr="00E32DC7">
        <w:t>pojišťování</w:t>
      </w:r>
      <w:bookmarkEnd w:id="67"/>
    </w:p>
    <w:p w14:paraId="7062FEEF" w14:textId="198F1AF8" w:rsidR="00A707D4" w:rsidRPr="00E32DC7" w:rsidRDefault="008154A4" w:rsidP="00581893">
      <w:pPr>
        <w:pStyle w:val="Bezmezer"/>
        <w:jc w:val="both"/>
      </w:pPr>
      <w:r w:rsidRPr="008154A4">
        <w:rPr>
          <w:rFonts w:asciiTheme="majorHAnsi" w:hAnsiTheme="majorHAnsi" w:cstheme="majorHAnsi"/>
        </w:rPr>
        <w:t>Novela zákona č. 58/1995 Sb., o</w:t>
      </w:r>
      <w:r w:rsidR="000F25DC">
        <w:rPr>
          <w:rFonts w:asciiTheme="majorHAnsi" w:hAnsiTheme="majorHAnsi" w:cstheme="majorHAnsi"/>
        </w:rPr>
        <w:t> </w:t>
      </w:r>
      <w:r w:rsidRPr="008154A4">
        <w:rPr>
          <w:rFonts w:asciiTheme="majorHAnsi" w:hAnsiTheme="majorHAnsi" w:cstheme="majorHAnsi"/>
        </w:rPr>
        <w:t>financování a</w:t>
      </w:r>
      <w:r w:rsidR="000F25DC">
        <w:rPr>
          <w:rFonts w:asciiTheme="majorHAnsi" w:hAnsiTheme="majorHAnsi" w:cstheme="majorHAnsi"/>
        </w:rPr>
        <w:t> </w:t>
      </w:r>
      <w:r w:rsidRPr="008154A4">
        <w:rPr>
          <w:rFonts w:asciiTheme="majorHAnsi" w:hAnsiTheme="majorHAnsi" w:cstheme="majorHAnsi"/>
        </w:rPr>
        <w:t>pojišťování vývozu se státní podporou, která proběhla v</w:t>
      </w:r>
      <w:r w:rsidR="000F25DC">
        <w:rPr>
          <w:rFonts w:asciiTheme="majorHAnsi" w:hAnsiTheme="majorHAnsi" w:cstheme="majorHAnsi"/>
        </w:rPr>
        <w:t> </w:t>
      </w:r>
      <w:r w:rsidRPr="008154A4">
        <w:rPr>
          <w:rFonts w:asciiTheme="majorHAnsi" w:hAnsiTheme="majorHAnsi" w:cstheme="majorHAnsi"/>
        </w:rPr>
        <w:t>roce 2022</w:t>
      </w:r>
      <w:r>
        <w:rPr>
          <w:rFonts w:asciiTheme="majorHAnsi" w:hAnsiTheme="majorHAnsi" w:cstheme="majorHAnsi"/>
        </w:rPr>
        <w:t>,</w:t>
      </w:r>
      <w:r w:rsidRPr="008154A4">
        <w:rPr>
          <w:rFonts w:asciiTheme="majorHAnsi" w:hAnsiTheme="majorHAnsi" w:cstheme="majorHAnsi"/>
        </w:rPr>
        <w:t xml:space="preserve"> umožnila rozšíření produktového portfolia ČEB i</w:t>
      </w:r>
      <w:r w:rsidR="000F25DC">
        <w:rPr>
          <w:rFonts w:asciiTheme="majorHAnsi" w:hAnsiTheme="majorHAnsi" w:cstheme="majorHAnsi"/>
        </w:rPr>
        <w:t> </w:t>
      </w:r>
      <w:r w:rsidRPr="008154A4">
        <w:rPr>
          <w:rFonts w:asciiTheme="majorHAnsi" w:hAnsiTheme="majorHAnsi" w:cstheme="majorHAnsi"/>
        </w:rPr>
        <w:t>EGAP o</w:t>
      </w:r>
      <w:r w:rsidR="000F25DC">
        <w:rPr>
          <w:rFonts w:asciiTheme="majorHAnsi" w:hAnsiTheme="majorHAnsi" w:cstheme="majorHAnsi"/>
        </w:rPr>
        <w:t> </w:t>
      </w:r>
      <w:r w:rsidRPr="008154A4">
        <w:rPr>
          <w:rFonts w:asciiTheme="majorHAnsi" w:hAnsiTheme="majorHAnsi" w:cstheme="majorHAnsi"/>
        </w:rPr>
        <w:t>podporu vývozně orientovaných podnikatelských subjektů při jejich aktivitách vedoucích ke zvyšování mezinárodní konkurenceschopnosti (tj. bez vazby na konkrétní vývozní kontrakt) např. v</w:t>
      </w:r>
      <w:r w:rsidR="000F25DC">
        <w:rPr>
          <w:rFonts w:asciiTheme="majorHAnsi" w:hAnsiTheme="majorHAnsi" w:cstheme="majorHAnsi"/>
        </w:rPr>
        <w:t> </w:t>
      </w:r>
      <w:r w:rsidRPr="008154A4">
        <w:rPr>
          <w:rFonts w:asciiTheme="majorHAnsi" w:hAnsiTheme="majorHAnsi" w:cstheme="majorHAnsi"/>
        </w:rPr>
        <w:t>oblasti růstu vývozního potenciálu a</w:t>
      </w:r>
      <w:r w:rsidR="000F25DC">
        <w:rPr>
          <w:rFonts w:asciiTheme="majorHAnsi" w:hAnsiTheme="majorHAnsi" w:cstheme="majorHAnsi"/>
        </w:rPr>
        <w:t> </w:t>
      </w:r>
      <w:r w:rsidRPr="008154A4">
        <w:rPr>
          <w:rFonts w:asciiTheme="majorHAnsi" w:hAnsiTheme="majorHAnsi" w:cstheme="majorHAnsi"/>
        </w:rPr>
        <w:t>získávání nových vývozních kontraktů skrze financování např. investic a</w:t>
      </w:r>
      <w:r w:rsidR="000F25DC">
        <w:rPr>
          <w:rFonts w:asciiTheme="majorHAnsi" w:hAnsiTheme="majorHAnsi" w:cstheme="majorHAnsi"/>
        </w:rPr>
        <w:t> </w:t>
      </w:r>
      <w:r w:rsidRPr="008154A4">
        <w:rPr>
          <w:rFonts w:asciiTheme="majorHAnsi" w:hAnsiTheme="majorHAnsi" w:cstheme="majorHAnsi"/>
        </w:rPr>
        <w:t>modernizace výrobních kapacit, materiálového předzásobení, včetně strategického nákupu surovin či snížení energetické náročnosti a</w:t>
      </w:r>
      <w:r w:rsidR="000F25DC">
        <w:rPr>
          <w:rFonts w:asciiTheme="majorHAnsi" w:hAnsiTheme="majorHAnsi" w:cstheme="majorHAnsi"/>
        </w:rPr>
        <w:t> </w:t>
      </w:r>
      <w:r w:rsidRPr="008154A4">
        <w:rPr>
          <w:rFonts w:asciiTheme="majorHAnsi" w:hAnsiTheme="majorHAnsi" w:cstheme="majorHAnsi"/>
        </w:rPr>
        <w:t>zvýšení ekologizace výroby.</w:t>
      </w:r>
      <w:r>
        <w:rPr>
          <w:rFonts w:asciiTheme="majorHAnsi" w:hAnsiTheme="majorHAnsi" w:cstheme="majorHAnsi"/>
        </w:rPr>
        <w:t xml:space="preserve"> </w:t>
      </w:r>
      <w:r w:rsidRPr="008154A4">
        <w:rPr>
          <w:rFonts w:asciiTheme="majorHAnsi" w:hAnsiTheme="majorHAnsi" w:cstheme="majorHAnsi"/>
        </w:rPr>
        <w:t>Produktová portfolia ČEB i</w:t>
      </w:r>
      <w:r w:rsidR="000F25DC">
        <w:rPr>
          <w:rFonts w:asciiTheme="majorHAnsi" w:hAnsiTheme="majorHAnsi" w:cstheme="majorHAnsi"/>
        </w:rPr>
        <w:t> </w:t>
      </w:r>
      <w:r w:rsidRPr="008154A4">
        <w:rPr>
          <w:rFonts w:asciiTheme="majorHAnsi" w:hAnsiTheme="majorHAnsi" w:cstheme="majorHAnsi"/>
        </w:rPr>
        <w:t>EGAP jsou po této změně ve srovnání s</w:t>
      </w:r>
      <w:r w:rsidR="000F25DC">
        <w:rPr>
          <w:rFonts w:asciiTheme="majorHAnsi" w:hAnsiTheme="majorHAnsi" w:cstheme="majorHAnsi"/>
        </w:rPr>
        <w:t> </w:t>
      </w:r>
      <w:r w:rsidRPr="008154A4">
        <w:rPr>
          <w:rFonts w:asciiTheme="majorHAnsi" w:hAnsiTheme="majorHAnsi" w:cstheme="majorHAnsi"/>
        </w:rPr>
        <w:t>ostatními exportními úvěrovými agenturami (ECAs) kvalitní a</w:t>
      </w:r>
      <w:r w:rsidR="000F25DC">
        <w:rPr>
          <w:rFonts w:asciiTheme="majorHAnsi" w:hAnsiTheme="majorHAnsi" w:cstheme="majorHAnsi"/>
        </w:rPr>
        <w:t> </w:t>
      </w:r>
      <w:r w:rsidRPr="008154A4">
        <w:rPr>
          <w:rFonts w:asciiTheme="majorHAnsi" w:hAnsiTheme="majorHAnsi" w:cstheme="majorHAnsi"/>
        </w:rPr>
        <w:t>v dostatečném rozsahu</w:t>
      </w:r>
      <w:r>
        <w:rPr>
          <w:rFonts w:asciiTheme="majorHAnsi" w:hAnsiTheme="majorHAnsi" w:cstheme="majorHAnsi"/>
        </w:rPr>
        <w:t>, což potvrdila i</w:t>
      </w:r>
      <w:r w:rsidR="000F25DC">
        <w:rPr>
          <w:rFonts w:asciiTheme="majorHAnsi" w:hAnsiTheme="majorHAnsi" w:cstheme="majorHAnsi"/>
        </w:rPr>
        <w:t> </w:t>
      </w:r>
      <w:r>
        <w:rPr>
          <w:rFonts w:asciiTheme="majorHAnsi" w:hAnsiTheme="majorHAnsi" w:cstheme="majorHAnsi"/>
        </w:rPr>
        <w:t>k</w:t>
      </w:r>
      <w:r w:rsidR="00477420" w:rsidRPr="00E32DC7">
        <w:rPr>
          <w:rFonts w:asciiTheme="majorHAnsi" w:hAnsiTheme="majorHAnsi" w:cstheme="majorHAnsi"/>
        </w:rPr>
        <w:t>omparativní analýza</w:t>
      </w:r>
      <w:r>
        <w:rPr>
          <w:rFonts w:asciiTheme="majorHAnsi" w:hAnsiTheme="majorHAnsi" w:cstheme="majorHAnsi"/>
        </w:rPr>
        <w:t>, realizovaná v</w:t>
      </w:r>
      <w:r w:rsidR="000F25DC">
        <w:rPr>
          <w:rFonts w:asciiTheme="majorHAnsi" w:hAnsiTheme="majorHAnsi" w:cstheme="majorHAnsi"/>
        </w:rPr>
        <w:t> </w:t>
      </w:r>
      <w:r>
        <w:rPr>
          <w:rFonts w:asciiTheme="majorHAnsi" w:hAnsiTheme="majorHAnsi" w:cstheme="majorHAnsi"/>
        </w:rPr>
        <w:t>roce 2023</w:t>
      </w:r>
      <w:r w:rsidR="001060EC">
        <w:rPr>
          <w:rFonts w:asciiTheme="majorHAnsi" w:hAnsiTheme="majorHAnsi" w:cstheme="majorHAnsi"/>
        </w:rPr>
        <w:t xml:space="preserve"> a odsouhlasená v rámci ŘVES zástupci podnikatelských svazů</w:t>
      </w:r>
      <w:r>
        <w:rPr>
          <w:rFonts w:asciiTheme="majorHAnsi" w:hAnsiTheme="majorHAnsi" w:cstheme="majorHAnsi"/>
        </w:rPr>
        <w:t xml:space="preserve">. </w:t>
      </w:r>
    </w:p>
    <w:p w14:paraId="1A186713" w14:textId="60AF562E" w:rsidR="00186954" w:rsidRPr="00E32DC7" w:rsidRDefault="00186954" w:rsidP="000A2337">
      <w:pPr>
        <w:pStyle w:val="Nadpis2"/>
      </w:pPr>
      <w:bookmarkStart w:id="68" w:name="_Toc169181873"/>
      <w:r w:rsidRPr="00E32DC7">
        <w:lastRenderedPageBreak/>
        <w:t>Prohloubení a</w:t>
      </w:r>
      <w:r w:rsidR="000F25DC">
        <w:t> </w:t>
      </w:r>
      <w:r w:rsidRPr="00E32DC7">
        <w:t>institucionalizace spolupráce s</w:t>
      </w:r>
      <w:r w:rsidR="000F25DC">
        <w:t> </w:t>
      </w:r>
      <w:r w:rsidRPr="00E32DC7">
        <w:t>NRB</w:t>
      </w:r>
      <w:bookmarkEnd w:id="68"/>
    </w:p>
    <w:p w14:paraId="0E532236" w14:textId="7F0CE7B1" w:rsidR="00581893" w:rsidRPr="00E32DC7" w:rsidRDefault="00581893" w:rsidP="00581893">
      <w:pPr>
        <w:pStyle w:val="Bezmezer"/>
        <w:jc w:val="both"/>
        <w:rPr>
          <w:rFonts w:asciiTheme="majorHAnsi" w:hAnsiTheme="majorHAnsi" w:cstheme="majorHAnsi"/>
        </w:rPr>
      </w:pPr>
      <w:r w:rsidRPr="00E32DC7">
        <w:rPr>
          <w:rFonts w:asciiTheme="majorHAnsi" w:hAnsiTheme="majorHAnsi" w:cstheme="majorHAnsi"/>
        </w:rPr>
        <w:t>V návaznosti na připravovanou a</w:t>
      </w:r>
      <w:r w:rsidR="000F25DC">
        <w:rPr>
          <w:rFonts w:asciiTheme="majorHAnsi" w:hAnsiTheme="majorHAnsi" w:cstheme="majorHAnsi"/>
        </w:rPr>
        <w:t> </w:t>
      </w:r>
      <w:r w:rsidRPr="00E32DC7">
        <w:rPr>
          <w:rFonts w:asciiTheme="majorHAnsi" w:hAnsiTheme="majorHAnsi" w:cstheme="majorHAnsi"/>
        </w:rPr>
        <w:t>probíhající integraci ČEB a</w:t>
      </w:r>
      <w:r w:rsidR="000F25DC">
        <w:rPr>
          <w:rFonts w:asciiTheme="majorHAnsi" w:hAnsiTheme="majorHAnsi" w:cstheme="majorHAnsi"/>
        </w:rPr>
        <w:t> </w:t>
      </w:r>
      <w:r w:rsidRPr="00E32DC7">
        <w:rPr>
          <w:rFonts w:asciiTheme="majorHAnsi" w:hAnsiTheme="majorHAnsi" w:cstheme="majorHAnsi"/>
        </w:rPr>
        <w:t>NRB dochází k</w:t>
      </w:r>
      <w:r w:rsidR="000F25DC">
        <w:rPr>
          <w:rFonts w:asciiTheme="majorHAnsi" w:hAnsiTheme="majorHAnsi" w:cstheme="majorHAnsi"/>
        </w:rPr>
        <w:t> </w:t>
      </w:r>
      <w:r w:rsidRPr="00E32DC7">
        <w:rPr>
          <w:rFonts w:asciiTheme="majorHAnsi" w:hAnsiTheme="majorHAnsi" w:cstheme="majorHAnsi"/>
        </w:rPr>
        <w:t>průběžnému prohlubování synergií mezi oběma institucemi, vzájemnému sdílení know-how pro exportní financování MSP a</w:t>
      </w:r>
      <w:r w:rsidR="000F25DC">
        <w:rPr>
          <w:rFonts w:asciiTheme="majorHAnsi" w:hAnsiTheme="majorHAnsi" w:cstheme="majorHAnsi"/>
        </w:rPr>
        <w:t> </w:t>
      </w:r>
      <w:r w:rsidRPr="00E32DC7">
        <w:rPr>
          <w:rFonts w:asciiTheme="majorHAnsi" w:hAnsiTheme="majorHAnsi" w:cstheme="majorHAnsi"/>
        </w:rPr>
        <w:t>rovněž k</w:t>
      </w:r>
      <w:r w:rsidR="000F25DC">
        <w:rPr>
          <w:rFonts w:asciiTheme="majorHAnsi" w:hAnsiTheme="majorHAnsi" w:cstheme="majorHAnsi"/>
        </w:rPr>
        <w:t> </w:t>
      </w:r>
      <w:r w:rsidRPr="00E32DC7">
        <w:rPr>
          <w:rFonts w:asciiTheme="majorHAnsi" w:hAnsiTheme="majorHAnsi" w:cstheme="majorHAnsi"/>
        </w:rPr>
        <w:t>posilování postavení NRB v</w:t>
      </w:r>
      <w:r w:rsidR="000F25DC">
        <w:rPr>
          <w:rFonts w:asciiTheme="majorHAnsi" w:hAnsiTheme="majorHAnsi" w:cstheme="majorHAnsi"/>
        </w:rPr>
        <w:t> </w:t>
      </w:r>
      <w:r w:rsidRPr="00E32DC7">
        <w:rPr>
          <w:rFonts w:asciiTheme="majorHAnsi" w:hAnsiTheme="majorHAnsi" w:cstheme="majorHAnsi"/>
        </w:rPr>
        <w:t xml:space="preserve">rámci financování rozvoje českých firem. </w:t>
      </w:r>
    </w:p>
    <w:p w14:paraId="3D71CD95" w14:textId="5E698ACB" w:rsidR="00581893" w:rsidRPr="00E32DC7" w:rsidRDefault="00581893" w:rsidP="00581893">
      <w:pPr>
        <w:pStyle w:val="Bezmezer"/>
        <w:jc w:val="both"/>
        <w:rPr>
          <w:rFonts w:asciiTheme="majorHAnsi" w:hAnsiTheme="majorHAnsi" w:cstheme="majorHAnsi"/>
        </w:rPr>
      </w:pPr>
      <w:r w:rsidRPr="00E32DC7">
        <w:rPr>
          <w:rFonts w:asciiTheme="majorHAnsi" w:hAnsiTheme="majorHAnsi" w:cstheme="majorHAnsi"/>
        </w:rPr>
        <w:t>Dlouhodobým cílem NRB je napomáhat prostřednictvím finančních nástrojů rozvoji národní ekonomiky skrze tradiční záruční a</w:t>
      </w:r>
      <w:r w:rsidR="000F25DC">
        <w:rPr>
          <w:rFonts w:asciiTheme="majorHAnsi" w:hAnsiTheme="majorHAnsi" w:cstheme="majorHAnsi"/>
        </w:rPr>
        <w:t> </w:t>
      </w:r>
      <w:r w:rsidRPr="00E32DC7">
        <w:rPr>
          <w:rFonts w:asciiTheme="majorHAnsi" w:hAnsiTheme="majorHAnsi" w:cstheme="majorHAnsi"/>
        </w:rPr>
        <w:t>rozvojové programy, ale i</w:t>
      </w:r>
      <w:r w:rsidR="000F25DC">
        <w:rPr>
          <w:rFonts w:asciiTheme="majorHAnsi" w:hAnsiTheme="majorHAnsi" w:cstheme="majorHAnsi"/>
        </w:rPr>
        <w:t> </w:t>
      </w:r>
      <w:r w:rsidRPr="00E32DC7">
        <w:rPr>
          <w:rFonts w:asciiTheme="majorHAnsi" w:hAnsiTheme="majorHAnsi" w:cstheme="majorHAnsi"/>
        </w:rPr>
        <w:t>přímé kapitálové vstupy či jejich modifikací v</w:t>
      </w:r>
      <w:r w:rsidR="000F25DC">
        <w:rPr>
          <w:rFonts w:asciiTheme="majorHAnsi" w:hAnsiTheme="majorHAnsi" w:cstheme="majorHAnsi"/>
        </w:rPr>
        <w:t> </w:t>
      </w:r>
      <w:r w:rsidRPr="00E32DC7">
        <w:rPr>
          <w:rFonts w:asciiTheme="majorHAnsi" w:hAnsiTheme="majorHAnsi" w:cstheme="majorHAnsi"/>
        </w:rPr>
        <w:t>podobě kvazi kapitálu, projektových dluhopisů, či subvencí úrokové sazby, včetně možnosti jejich efektivních kombinací. Z</w:t>
      </w:r>
      <w:r w:rsidR="000F25DC">
        <w:rPr>
          <w:rFonts w:asciiTheme="majorHAnsi" w:hAnsiTheme="majorHAnsi" w:cstheme="majorHAnsi"/>
        </w:rPr>
        <w:t> </w:t>
      </w:r>
      <w:r w:rsidRPr="00E32DC7">
        <w:rPr>
          <w:rFonts w:asciiTheme="majorHAnsi" w:hAnsiTheme="majorHAnsi" w:cstheme="majorHAnsi"/>
        </w:rPr>
        <w:t>pohledu státního rozpočtu je za výhodnější považována návratná forma podpory. Do budoucna by měla NRB hrát silnější roli v</w:t>
      </w:r>
      <w:r w:rsidR="000F25DC">
        <w:rPr>
          <w:rFonts w:asciiTheme="majorHAnsi" w:hAnsiTheme="majorHAnsi" w:cstheme="majorHAnsi"/>
        </w:rPr>
        <w:t> </w:t>
      </w:r>
      <w:r w:rsidRPr="00E32DC7">
        <w:rPr>
          <w:rFonts w:asciiTheme="majorHAnsi" w:hAnsiTheme="majorHAnsi" w:cstheme="majorHAnsi"/>
        </w:rPr>
        <w:t>oblasti poradenství dle aktuálních strategických priorit vlády s</w:t>
      </w:r>
      <w:r w:rsidR="000F25DC">
        <w:rPr>
          <w:rFonts w:asciiTheme="majorHAnsi" w:hAnsiTheme="majorHAnsi" w:cstheme="majorHAnsi"/>
        </w:rPr>
        <w:t> </w:t>
      </w:r>
      <w:r w:rsidRPr="00E32DC7">
        <w:rPr>
          <w:rFonts w:asciiTheme="majorHAnsi" w:hAnsiTheme="majorHAnsi" w:cstheme="majorHAnsi"/>
        </w:rPr>
        <w:t>významnou flexibilitou v</w:t>
      </w:r>
      <w:r w:rsidR="000F25DC">
        <w:rPr>
          <w:rFonts w:asciiTheme="majorHAnsi" w:hAnsiTheme="majorHAnsi" w:cstheme="majorHAnsi"/>
        </w:rPr>
        <w:t> </w:t>
      </w:r>
      <w:r w:rsidRPr="00E32DC7">
        <w:rPr>
          <w:rFonts w:asciiTheme="majorHAnsi" w:hAnsiTheme="majorHAnsi" w:cstheme="majorHAnsi"/>
        </w:rPr>
        <w:t>oblastech rozvoje a</w:t>
      </w:r>
      <w:r w:rsidR="000F25DC">
        <w:rPr>
          <w:rFonts w:asciiTheme="majorHAnsi" w:hAnsiTheme="majorHAnsi" w:cstheme="majorHAnsi"/>
        </w:rPr>
        <w:t> </w:t>
      </w:r>
      <w:r w:rsidRPr="00E32DC7">
        <w:rPr>
          <w:rFonts w:asciiTheme="majorHAnsi" w:hAnsiTheme="majorHAnsi" w:cstheme="majorHAnsi"/>
        </w:rPr>
        <w:t>růstu českých firem, podpory ekonomické prosperity, infrastruktury, digitalizace, sociálních změn a</w:t>
      </w:r>
      <w:r w:rsidR="000F25DC">
        <w:rPr>
          <w:rFonts w:asciiTheme="majorHAnsi" w:hAnsiTheme="majorHAnsi" w:cstheme="majorHAnsi"/>
        </w:rPr>
        <w:t> </w:t>
      </w:r>
      <w:r w:rsidRPr="00E32DC7">
        <w:rPr>
          <w:rFonts w:asciiTheme="majorHAnsi" w:hAnsiTheme="majorHAnsi" w:cstheme="majorHAnsi"/>
        </w:rPr>
        <w:t>změny klimatu. I</w:t>
      </w:r>
      <w:r w:rsidR="000F25DC">
        <w:rPr>
          <w:rFonts w:asciiTheme="majorHAnsi" w:hAnsiTheme="majorHAnsi" w:cstheme="majorHAnsi"/>
        </w:rPr>
        <w:t> </w:t>
      </w:r>
      <w:r w:rsidRPr="00E32DC7">
        <w:rPr>
          <w:rFonts w:asciiTheme="majorHAnsi" w:hAnsiTheme="majorHAnsi" w:cstheme="majorHAnsi"/>
        </w:rPr>
        <w:t>přes své specifické postavení v</w:t>
      </w:r>
      <w:r w:rsidR="000F25DC">
        <w:rPr>
          <w:rFonts w:asciiTheme="majorHAnsi" w:hAnsiTheme="majorHAnsi" w:cstheme="majorHAnsi"/>
        </w:rPr>
        <w:t> </w:t>
      </w:r>
      <w:r w:rsidRPr="00E32DC7">
        <w:rPr>
          <w:rFonts w:asciiTheme="majorHAnsi" w:hAnsiTheme="majorHAnsi" w:cstheme="majorHAnsi"/>
        </w:rPr>
        <w:t>bankovním sektoru musí být NRB nadále udržitelně zisková a</w:t>
      </w:r>
      <w:r w:rsidR="000F25DC">
        <w:rPr>
          <w:rFonts w:asciiTheme="majorHAnsi" w:hAnsiTheme="majorHAnsi" w:cstheme="majorHAnsi"/>
        </w:rPr>
        <w:t> </w:t>
      </w:r>
      <w:r w:rsidRPr="00E32DC7">
        <w:rPr>
          <w:rFonts w:asciiTheme="majorHAnsi" w:hAnsiTheme="majorHAnsi" w:cstheme="majorHAnsi"/>
        </w:rPr>
        <w:t>investovat do návratných projektů s</w:t>
      </w:r>
      <w:r w:rsidR="000F25DC">
        <w:rPr>
          <w:rFonts w:asciiTheme="majorHAnsi" w:hAnsiTheme="majorHAnsi" w:cstheme="majorHAnsi"/>
        </w:rPr>
        <w:t> </w:t>
      </w:r>
      <w:r w:rsidRPr="00E32DC7">
        <w:rPr>
          <w:rFonts w:asciiTheme="majorHAnsi" w:hAnsiTheme="majorHAnsi" w:cstheme="majorHAnsi"/>
        </w:rPr>
        <w:t>péčí řádného hospodáře. Po dovršení integračního procesu NRB a</w:t>
      </w:r>
      <w:r w:rsidR="000F25DC">
        <w:rPr>
          <w:rFonts w:asciiTheme="majorHAnsi" w:hAnsiTheme="majorHAnsi" w:cstheme="majorHAnsi"/>
        </w:rPr>
        <w:t> </w:t>
      </w:r>
      <w:r w:rsidRPr="00E32DC7">
        <w:rPr>
          <w:rFonts w:asciiTheme="majorHAnsi" w:hAnsiTheme="majorHAnsi" w:cstheme="majorHAnsi"/>
        </w:rPr>
        <w:t>ČEB dojde k</w:t>
      </w:r>
      <w:r w:rsidR="000F25DC">
        <w:rPr>
          <w:rFonts w:asciiTheme="majorHAnsi" w:hAnsiTheme="majorHAnsi" w:cstheme="majorHAnsi"/>
        </w:rPr>
        <w:t> </w:t>
      </w:r>
      <w:r w:rsidRPr="00E32DC7">
        <w:rPr>
          <w:rFonts w:asciiTheme="majorHAnsi" w:hAnsiTheme="majorHAnsi" w:cstheme="majorHAnsi"/>
        </w:rPr>
        <w:t>výraznému zvýšení úvěrové a</w:t>
      </w:r>
      <w:r w:rsidR="000F25DC">
        <w:rPr>
          <w:rFonts w:asciiTheme="majorHAnsi" w:hAnsiTheme="majorHAnsi" w:cstheme="majorHAnsi"/>
        </w:rPr>
        <w:t> </w:t>
      </w:r>
      <w:r w:rsidRPr="00E32DC7">
        <w:rPr>
          <w:rFonts w:asciiTheme="majorHAnsi" w:hAnsiTheme="majorHAnsi" w:cstheme="majorHAnsi"/>
        </w:rPr>
        <w:t>záruční kapacity NRB a</w:t>
      </w:r>
      <w:r w:rsidR="000F25DC">
        <w:rPr>
          <w:rFonts w:asciiTheme="majorHAnsi" w:hAnsiTheme="majorHAnsi" w:cstheme="majorHAnsi"/>
        </w:rPr>
        <w:t> </w:t>
      </w:r>
      <w:r w:rsidRPr="00E32DC7">
        <w:rPr>
          <w:rFonts w:asciiTheme="majorHAnsi" w:hAnsiTheme="majorHAnsi" w:cstheme="majorHAnsi"/>
        </w:rPr>
        <w:t>silnější bankovní skupina získá širší přístup k</w:t>
      </w:r>
      <w:r w:rsidR="000F25DC">
        <w:rPr>
          <w:rFonts w:asciiTheme="majorHAnsi" w:hAnsiTheme="majorHAnsi" w:cstheme="majorHAnsi"/>
        </w:rPr>
        <w:t> </w:t>
      </w:r>
      <w:r w:rsidRPr="00E32DC7">
        <w:rPr>
          <w:rFonts w:asciiTheme="majorHAnsi" w:hAnsiTheme="majorHAnsi" w:cstheme="majorHAnsi"/>
        </w:rPr>
        <w:t>finančním zdrojům.</w:t>
      </w:r>
    </w:p>
    <w:p w14:paraId="304A1560" w14:textId="36535E26" w:rsidR="000A2337" w:rsidRDefault="00CC1688" w:rsidP="000A2337">
      <w:pPr>
        <w:pStyle w:val="Nadpis1"/>
      </w:pPr>
      <w:bookmarkStart w:id="69" w:name="_Toc169181874"/>
      <w:r>
        <w:t>Vybran</w:t>
      </w:r>
      <w:r w:rsidR="00A33591">
        <w:t>é</w:t>
      </w:r>
      <w:r>
        <w:t xml:space="preserve"> i</w:t>
      </w:r>
      <w:r w:rsidR="00131895" w:rsidRPr="00E32DC7">
        <w:t>ndikátory Exportní strategie</w:t>
      </w:r>
      <w:bookmarkStart w:id="70" w:name="_Hlk168485091"/>
      <w:bookmarkEnd w:id="69"/>
    </w:p>
    <w:p w14:paraId="1BA1D208" w14:textId="6BE6687A" w:rsidR="00C369A6" w:rsidRPr="009A36F0" w:rsidRDefault="00C369A6" w:rsidP="004D3ABD">
      <w:pPr>
        <w:pStyle w:val="Nadpis2"/>
        <w:numPr>
          <w:ilvl w:val="1"/>
          <w:numId w:val="21"/>
        </w:numPr>
        <w:spacing w:before="80"/>
        <w:ind w:left="567" w:hanging="567"/>
      </w:pPr>
      <w:bookmarkStart w:id="71" w:name="_Toc169181875"/>
      <w:r w:rsidRPr="009A36F0">
        <w:t>Růst vývozu zboží a</w:t>
      </w:r>
      <w:r w:rsidR="000F25DC">
        <w:t> </w:t>
      </w:r>
      <w:r w:rsidRPr="009A36F0">
        <w:t>zvyšování exportního portfolia</w:t>
      </w:r>
      <w:r>
        <w:t xml:space="preserve"> (diverzifikace exportu)</w:t>
      </w:r>
      <w:r w:rsidRPr="009A36F0">
        <w:t xml:space="preserve"> firem</w:t>
      </w:r>
      <w:bookmarkEnd w:id="71"/>
      <w:r w:rsidRPr="009A36F0">
        <w:t xml:space="preserve">  </w:t>
      </w:r>
    </w:p>
    <w:p w14:paraId="2A0336E7" w14:textId="44B54D11" w:rsidR="00C369A6" w:rsidRDefault="00C369A6" w:rsidP="00CC1688">
      <w:pPr>
        <w:pStyle w:val="Bezmezer"/>
        <w:spacing w:after="60"/>
        <w:jc w:val="both"/>
      </w:pPr>
      <w:bookmarkStart w:id="72" w:name="_Hlk168400556"/>
      <w:bookmarkStart w:id="73" w:name="_Hlk168650996"/>
      <w:bookmarkEnd w:id="70"/>
      <w:r w:rsidRPr="005C22D5">
        <w:t>Celkový vývoz činil v</w:t>
      </w:r>
      <w:r w:rsidR="000F25DC">
        <w:t> </w:t>
      </w:r>
      <w:r w:rsidRPr="005C22D5">
        <w:t>roce 2023 v</w:t>
      </w:r>
      <w:r w:rsidR="000F25DC">
        <w:t> </w:t>
      </w:r>
      <w:r w:rsidRPr="005C22D5">
        <w:t>běžných cenách</w:t>
      </w:r>
      <w:bookmarkEnd w:id="72"/>
      <w:r w:rsidRPr="005C22D5">
        <w:t xml:space="preserve"> 4,45 bil. Kč a</w:t>
      </w:r>
      <w:r w:rsidR="000F25DC">
        <w:t> </w:t>
      </w:r>
      <w:r w:rsidRPr="005C22D5">
        <w:t>byl o</w:t>
      </w:r>
      <w:r w:rsidR="000F25DC">
        <w:t> </w:t>
      </w:r>
      <w:r w:rsidRPr="005C22D5">
        <w:t>42,3 mld. Kč (0,96 %) vyšší než v</w:t>
      </w:r>
      <w:r w:rsidR="000F25DC">
        <w:t> </w:t>
      </w:r>
      <w:r w:rsidRPr="005C22D5">
        <w:t>roce 2022. Obchodní bilance vykázala přebytek 123,95 mld. Kč ve srovnání s</w:t>
      </w:r>
      <w:r w:rsidR="000F25DC">
        <w:t> </w:t>
      </w:r>
      <w:r w:rsidRPr="005C22D5">
        <w:t>deficitem 204,8 mld. Kč v</w:t>
      </w:r>
      <w:r w:rsidR="000F25DC">
        <w:t> </w:t>
      </w:r>
      <w:r w:rsidRPr="005C22D5">
        <w:t xml:space="preserve">roce 2022. Vývoz </w:t>
      </w:r>
      <w:r>
        <w:t xml:space="preserve">do zemí mimo </w:t>
      </w:r>
      <w:r w:rsidRPr="005C22D5">
        <w:t>EU27 v</w:t>
      </w:r>
      <w:r w:rsidR="000F25DC">
        <w:t> </w:t>
      </w:r>
      <w:r w:rsidRPr="005C22D5">
        <w:t xml:space="preserve">roce 2023 činil </w:t>
      </w:r>
      <w:r>
        <w:t>20,1</w:t>
      </w:r>
      <w:r w:rsidRPr="005C22D5">
        <w:t xml:space="preserve"> % z</w:t>
      </w:r>
      <w:r w:rsidR="000F25DC">
        <w:t> </w:t>
      </w:r>
      <w:r w:rsidRPr="005C22D5">
        <w:t>celkového vývozu, v</w:t>
      </w:r>
      <w:r w:rsidR="000F25DC">
        <w:t> </w:t>
      </w:r>
      <w:r w:rsidRPr="005C22D5">
        <w:t xml:space="preserve">roce 2022 uvedený podíl činil </w:t>
      </w:r>
      <w:r>
        <w:t>19,3 </w:t>
      </w:r>
      <w:r w:rsidRPr="005C22D5">
        <w:t>%.</w:t>
      </w:r>
      <w:r>
        <w:t xml:space="preserve"> </w:t>
      </w:r>
    </w:p>
    <w:p w14:paraId="585E0605" w14:textId="785DC0BA" w:rsidR="00C369A6" w:rsidRDefault="00C369A6" w:rsidP="00C369A6">
      <w:pPr>
        <w:spacing w:after="0" w:line="276" w:lineRule="auto"/>
        <w:rPr>
          <w:rFonts w:cstheme="minorHAnsi"/>
        </w:rPr>
      </w:pPr>
      <w:r w:rsidRPr="005C22D5">
        <w:rPr>
          <w:rFonts w:cstheme="minorHAnsi"/>
          <w:b/>
          <w:bCs/>
        </w:rPr>
        <w:t>Při vyloučení skupin SITC 32 až 35</w:t>
      </w:r>
      <w:r w:rsidRPr="005C22D5">
        <w:rPr>
          <w:rFonts w:cstheme="minorHAnsi"/>
        </w:rPr>
        <w:t xml:space="preserve"> (topný plyn, fosilní paliva a</w:t>
      </w:r>
      <w:r w:rsidR="000F25DC">
        <w:rPr>
          <w:rFonts w:cstheme="minorHAnsi"/>
        </w:rPr>
        <w:t> </w:t>
      </w:r>
      <w:r w:rsidRPr="005C22D5">
        <w:rPr>
          <w:rFonts w:cstheme="minorHAnsi"/>
        </w:rPr>
        <w:t>elektrický proud)</w:t>
      </w:r>
      <w:r>
        <w:rPr>
          <w:rFonts w:cstheme="minorHAnsi"/>
        </w:rPr>
        <w:t>:</w:t>
      </w:r>
    </w:p>
    <w:p w14:paraId="2A19E04F" w14:textId="5F9179DD" w:rsidR="00C369A6" w:rsidRPr="00C369A6" w:rsidRDefault="00C369A6" w:rsidP="00C369A6">
      <w:pPr>
        <w:pStyle w:val="Odstavecseseznamem"/>
        <w:numPr>
          <w:ilvl w:val="0"/>
          <w:numId w:val="27"/>
        </w:numPr>
        <w:spacing w:after="0" w:line="240" w:lineRule="auto"/>
        <w:jc w:val="both"/>
        <w:rPr>
          <w:rFonts w:cstheme="minorHAnsi"/>
        </w:rPr>
      </w:pPr>
      <w:r w:rsidRPr="00C369A6">
        <w:rPr>
          <w:rFonts w:cstheme="minorHAnsi"/>
        </w:rPr>
        <w:t xml:space="preserve">Činil </w:t>
      </w:r>
      <w:r w:rsidRPr="00C369A6">
        <w:rPr>
          <w:rFonts w:cstheme="minorHAnsi"/>
          <w:b/>
          <w:bCs/>
        </w:rPr>
        <w:t>vývoz</w:t>
      </w:r>
      <w:r w:rsidRPr="00C369A6">
        <w:rPr>
          <w:rFonts w:cstheme="minorHAnsi"/>
        </w:rPr>
        <w:t xml:space="preserve"> za rok 2023 celkem 4,34 bil. Kč a</w:t>
      </w:r>
      <w:r w:rsidR="000F25DC">
        <w:rPr>
          <w:rFonts w:cstheme="minorHAnsi"/>
        </w:rPr>
        <w:t> </w:t>
      </w:r>
      <w:r w:rsidRPr="00C369A6">
        <w:rPr>
          <w:rFonts w:cstheme="minorHAnsi"/>
        </w:rPr>
        <w:t>byl o</w:t>
      </w:r>
      <w:r w:rsidR="000F25DC">
        <w:rPr>
          <w:rFonts w:cstheme="minorHAnsi"/>
        </w:rPr>
        <w:t> </w:t>
      </w:r>
      <w:r w:rsidRPr="00C369A6">
        <w:rPr>
          <w:rFonts w:cstheme="minorHAnsi"/>
        </w:rPr>
        <w:t>132,4 mld. Kč (3,15 %) vyšší než v</w:t>
      </w:r>
      <w:r w:rsidR="000F25DC">
        <w:rPr>
          <w:rFonts w:cstheme="minorHAnsi"/>
        </w:rPr>
        <w:t> </w:t>
      </w:r>
      <w:r w:rsidRPr="00C369A6">
        <w:rPr>
          <w:rFonts w:cstheme="minorHAnsi"/>
        </w:rPr>
        <w:t>roce 2022, podíl vývozu mimo země EU27 na celkovém vývozu v</w:t>
      </w:r>
      <w:r w:rsidR="000F25DC">
        <w:rPr>
          <w:rFonts w:cstheme="minorHAnsi"/>
        </w:rPr>
        <w:t> </w:t>
      </w:r>
      <w:r w:rsidRPr="00C369A6">
        <w:rPr>
          <w:rFonts w:cstheme="minorHAnsi"/>
        </w:rPr>
        <w:t>roce 2023 mírně vzrostl na 20,5 % z</w:t>
      </w:r>
      <w:r w:rsidR="000F25DC">
        <w:rPr>
          <w:rFonts w:cstheme="minorHAnsi"/>
        </w:rPr>
        <w:t> </w:t>
      </w:r>
      <w:r w:rsidRPr="00C369A6">
        <w:rPr>
          <w:rFonts w:cstheme="minorHAnsi"/>
        </w:rPr>
        <w:t>hodnoty 20,1 % v</w:t>
      </w:r>
      <w:r w:rsidR="000F25DC">
        <w:rPr>
          <w:rFonts w:cstheme="minorHAnsi"/>
        </w:rPr>
        <w:t> </w:t>
      </w:r>
      <w:r w:rsidRPr="00C369A6">
        <w:rPr>
          <w:rFonts w:cstheme="minorHAnsi"/>
        </w:rPr>
        <w:t>roce 2022</w:t>
      </w:r>
      <w:bookmarkStart w:id="74" w:name="_Hlk168406462"/>
      <w:r w:rsidRPr="00C369A6">
        <w:rPr>
          <w:rFonts w:cstheme="minorHAnsi"/>
        </w:rPr>
        <w:t>.</w:t>
      </w:r>
    </w:p>
    <w:p w14:paraId="3DBEFF28" w14:textId="1408844F" w:rsidR="00C369A6" w:rsidRPr="00C369A6" w:rsidRDefault="00C369A6" w:rsidP="00C369A6">
      <w:pPr>
        <w:pStyle w:val="Odstavecseseznamem"/>
        <w:numPr>
          <w:ilvl w:val="0"/>
          <w:numId w:val="27"/>
        </w:numPr>
        <w:spacing w:after="0" w:line="240" w:lineRule="auto"/>
        <w:jc w:val="both"/>
        <w:rPr>
          <w:rFonts w:cstheme="minorHAnsi"/>
          <w:b/>
          <w:bCs/>
        </w:rPr>
      </w:pPr>
      <w:r w:rsidRPr="00C369A6">
        <w:rPr>
          <w:rFonts w:cstheme="minorHAnsi"/>
          <w:b/>
          <w:bCs/>
        </w:rPr>
        <w:t>Nejvyšší meziroční růsty exportu u</w:t>
      </w:r>
      <w:r w:rsidR="000F25DC">
        <w:rPr>
          <w:rFonts w:cstheme="minorHAnsi"/>
          <w:b/>
          <w:bCs/>
        </w:rPr>
        <w:t> </w:t>
      </w:r>
      <w:r w:rsidRPr="00C369A6">
        <w:rPr>
          <w:rFonts w:cstheme="minorHAnsi"/>
          <w:b/>
          <w:bCs/>
        </w:rPr>
        <w:t xml:space="preserve">kategorií zboží </w:t>
      </w:r>
      <w:r w:rsidRPr="00C369A6">
        <w:rPr>
          <w:rFonts w:cstheme="minorHAnsi"/>
        </w:rPr>
        <w:t>byly zaznamenány</w:t>
      </w:r>
      <w:r w:rsidRPr="00C369A6">
        <w:rPr>
          <w:rFonts w:cstheme="minorHAnsi"/>
          <w:b/>
          <w:bCs/>
        </w:rPr>
        <w:t xml:space="preserve"> </w:t>
      </w:r>
      <w:bookmarkEnd w:id="74"/>
      <w:r w:rsidRPr="00C369A6">
        <w:rPr>
          <w:rFonts w:cstheme="minorHAnsi"/>
        </w:rPr>
        <w:t>ve skupinách SITC</w:t>
      </w:r>
      <w:r w:rsidRPr="00C369A6">
        <w:rPr>
          <w:rFonts w:cstheme="minorHAnsi"/>
          <w:b/>
          <w:bCs/>
        </w:rPr>
        <w:t xml:space="preserve"> </w:t>
      </w:r>
      <w:r w:rsidRPr="00C369A6">
        <w:rPr>
          <w:rFonts w:cstheme="minorHAnsi"/>
        </w:rPr>
        <w:t xml:space="preserve">78 - Silniční vozidla … </w:t>
      </w:r>
      <w:bookmarkStart w:id="75" w:name="_Hlk168399982"/>
      <w:r w:rsidRPr="00C369A6">
        <w:rPr>
          <w:rFonts w:cstheme="minorHAnsi"/>
        </w:rPr>
        <w:t>(160 mld. Kč/16,8 %)</w:t>
      </w:r>
      <w:bookmarkEnd w:id="75"/>
      <w:r w:rsidRPr="00C369A6">
        <w:rPr>
          <w:rFonts w:cstheme="minorHAnsi"/>
        </w:rPr>
        <w:t>, 77 – Elektrická zařízení, … (39 mld. Kč/9,3 %), 74 - Stroje a</w:t>
      </w:r>
      <w:r w:rsidR="000F25DC">
        <w:rPr>
          <w:rFonts w:cstheme="minorHAnsi"/>
        </w:rPr>
        <w:t> </w:t>
      </w:r>
      <w:r w:rsidRPr="00C369A6">
        <w:rPr>
          <w:rFonts w:cstheme="minorHAnsi"/>
        </w:rPr>
        <w:t>zařízení všeobecně užívané v</w:t>
      </w:r>
      <w:r w:rsidR="000F25DC">
        <w:rPr>
          <w:rFonts w:cstheme="minorHAnsi"/>
        </w:rPr>
        <w:t> </w:t>
      </w:r>
      <w:r w:rsidRPr="00C369A6">
        <w:rPr>
          <w:rFonts w:cstheme="minorHAnsi"/>
        </w:rPr>
        <w:t xml:space="preserve">průmyslu, j.n. </w:t>
      </w:r>
      <w:bookmarkStart w:id="76" w:name="_Hlk168400201"/>
      <w:r w:rsidRPr="00C369A6">
        <w:rPr>
          <w:rFonts w:cstheme="minorHAnsi"/>
        </w:rPr>
        <w:t>(17 mld. Kč/5,7 %)</w:t>
      </w:r>
      <w:bookmarkEnd w:id="76"/>
      <w:r w:rsidRPr="00C369A6">
        <w:rPr>
          <w:rFonts w:cstheme="minorHAnsi"/>
        </w:rPr>
        <w:t>, 87 - Odborné, vědecké a</w:t>
      </w:r>
      <w:r w:rsidR="000F25DC">
        <w:rPr>
          <w:rFonts w:cstheme="minorHAnsi"/>
        </w:rPr>
        <w:t> </w:t>
      </w:r>
      <w:r w:rsidRPr="00C369A6">
        <w:rPr>
          <w:rFonts w:cstheme="minorHAnsi"/>
        </w:rPr>
        <w:t>řídící přístroje a</w:t>
      </w:r>
      <w:r w:rsidR="000F25DC">
        <w:rPr>
          <w:rFonts w:cstheme="minorHAnsi"/>
        </w:rPr>
        <w:t> </w:t>
      </w:r>
      <w:r w:rsidRPr="00C369A6">
        <w:rPr>
          <w:rFonts w:cstheme="minorHAnsi"/>
        </w:rPr>
        <w:t xml:space="preserve">zařízeni, j.n. </w:t>
      </w:r>
      <w:bookmarkStart w:id="77" w:name="_Hlk168403699"/>
      <w:r w:rsidRPr="00C369A6">
        <w:rPr>
          <w:rFonts w:cstheme="minorHAnsi"/>
        </w:rPr>
        <w:t>(13 mld. Kč/13,1 %)</w:t>
      </w:r>
      <w:bookmarkEnd w:id="77"/>
      <w:r w:rsidRPr="00C369A6">
        <w:rPr>
          <w:rFonts w:cstheme="minorHAnsi"/>
        </w:rPr>
        <w:t>, 82 - Nábytek a</w:t>
      </w:r>
      <w:r w:rsidR="000F25DC">
        <w:rPr>
          <w:rFonts w:cstheme="minorHAnsi"/>
        </w:rPr>
        <w:t> </w:t>
      </w:r>
      <w:r w:rsidRPr="00C369A6">
        <w:rPr>
          <w:rFonts w:cstheme="minorHAnsi"/>
        </w:rPr>
        <w:t>jeho díly, … (10 mld. Kč/10,6 %)</w:t>
      </w:r>
      <w:bookmarkStart w:id="78" w:name="_Hlk168413404"/>
      <w:r w:rsidRPr="00C369A6">
        <w:rPr>
          <w:rFonts w:cstheme="minorHAnsi"/>
        </w:rPr>
        <w:t xml:space="preserve">. </w:t>
      </w:r>
    </w:p>
    <w:p w14:paraId="634F6DCE" w14:textId="363CD854" w:rsidR="00C369A6" w:rsidRPr="00C369A6" w:rsidRDefault="00C369A6" w:rsidP="00C369A6">
      <w:pPr>
        <w:pStyle w:val="Odstavecseseznamem"/>
        <w:numPr>
          <w:ilvl w:val="0"/>
          <w:numId w:val="27"/>
        </w:numPr>
        <w:spacing w:after="0" w:line="240" w:lineRule="auto"/>
        <w:jc w:val="both"/>
        <w:rPr>
          <w:rFonts w:cstheme="minorHAnsi"/>
          <w:b/>
          <w:bCs/>
        </w:rPr>
      </w:pPr>
      <w:r w:rsidRPr="00C369A6">
        <w:rPr>
          <w:rFonts w:cstheme="minorHAnsi"/>
          <w:b/>
          <w:bCs/>
        </w:rPr>
        <w:t>Nejvyšší meziroční poklesy</w:t>
      </w:r>
      <w:r w:rsidRPr="00C369A6">
        <w:rPr>
          <w:rFonts w:cstheme="minorHAnsi"/>
        </w:rPr>
        <w:t xml:space="preserve"> </w:t>
      </w:r>
      <w:bookmarkEnd w:id="78"/>
      <w:r w:rsidRPr="00C369A6">
        <w:rPr>
          <w:rFonts w:cstheme="minorHAnsi"/>
          <w:b/>
          <w:bCs/>
        </w:rPr>
        <w:t>exportu u</w:t>
      </w:r>
      <w:r w:rsidR="000F25DC">
        <w:rPr>
          <w:rFonts w:cstheme="minorHAnsi"/>
          <w:b/>
          <w:bCs/>
        </w:rPr>
        <w:t> </w:t>
      </w:r>
      <w:r w:rsidRPr="00C369A6">
        <w:rPr>
          <w:rFonts w:cstheme="minorHAnsi"/>
          <w:b/>
          <w:bCs/>
        </w:rPr>
        <w:t>kategorií zboží</w:t>
      </w:r>
      <w:r w:rsidRPr="00C369A6">
        <w:rPr>
          <w:rFonts w:cstheme="minorHAnsi"/>
        </w:rPr>
        <w:t xml:space="preserve"> nastaly ve skupinách SITC 75 - Kancelářské stroje a</w:t>
      </w:r>
      <w:r w:rsidR="000F25DC">
        <w:rPr>
          <w:rFonts w:cstheme="minorHAnsi"/>
        </w:rPr>
        <w:t> </w:t>
      </w:r>
      <w:r w:rsidRPr="00C369A6">
        <w:rPr>
          <w:rFonts w:cstheme="minorHAnsi"/>
        </w:rPr>
        <w:t>zař. k</w:t>
      </w:r>
      <w:r w:rsidR="000F25DC">
        <w:rPr>
          <w:rFonts w:cstheme="minorHAnsi"/>
        </w:rPr>
        <w:t> </w:t>
      </w:r>
      <w:r w:rsidRPr="00C369A6">
        <w:rPr>
          <w:rFonts w:cstheme="minorHAnsi"/>
        </w:rPr>
        <w:t>automat. zpracování dat (42 mld. Kč/22,0 %), 67 - Železo a</w:t>
      </w:r>
      <w:r w:rsidR="000F25DC">
        <w:rPr>
          <w:rFonts w:cstheme="minorHAnsi"/>
        </w:rPr>
        <w:t> </w:t>
      </w:r>
      <w:r w:rsidRPr="00C369A6">
        <w:rPr>
          <w:rFonts w:cstheme="minorHAnsi"/>
        </w:rPr>
        <w:t xml:space="preserve">ocel </w:t>
      </w:r>
      <w:bookmarkStart w:id="79" w:name="_Hlk168404411"/>
      <w:r w:rsidRPr="00C369A6">
        <w:rPr>
          <w:rFonts w:cstheme="minorHAnsi"/>
        </w:rPr>
        <w:t>(29 mld. Kč /19,6 %)</w:t>
      </w:r>
      <w:bookmarkEnd w:id="79"/>
      <w:r w:rsidRPr="00C369A6">
        <w:rPr>
          <w:rFonts w:cstheme="minorHAnsi"/>
        </w:rPr>
        <w:t>, 24 - Korek a</w:t>
      </w:r>
      <w:r w:rsidR="000F25DC">
        <w:rPr>
          <w:rFonts w:cstheme="minorHAnsi"/>
        </w:rPr>
        <w:t> </w:t>
      </w:r>
      <w:r w:rsidRPr="00C369A6">
        <w:rPr>
          <w:rFonts w:cstheme="minorHAnsi"/>
        </w:rPr>
        <w:t>dřevo (29 mld. Kč/39,8 %), 57 - Plasty v</w:t>
      </w:r>
      <w:r w:rsidR="000F25DC">
        <w:rPr>
          <w:rFonts w:cstheme="minorHAnsi"/>
        </w:rPr>
        <w:t> </w:t>
      </w:r>
      <w:r w:rsidRPr="00C369A6">
        <w:rPr>
          <w:rFonts w:cstheme="minorHAnsi"/>
        </w:rPr>
        <w:t xml:space="preserve">prvotní formě </w:t>
      </w:r>
      <w:bookmarkStart w:id="80" w:name="_Hlk168413198"/>
      <w:r w:rsidRPr="00C369A6">
        <w:rPr>
          <w:rFonts w:cstheme="minorHAnsi"/>
        </w:rPr>
        <w:t>(29 mld. Kč/24,9 %)</w:t>
      </w:r>
      <w:bookmarkEnd w:id="80"/>
      <w:r w:rsidRPr="00C369A6">
        <w:rPr>
          <w:rFonts w:cstheme="minorHAnsi"/>
        </w:rPr>
        <w:t>, 69 - Kovové výrobky, j.n.</w:t>
      </w:r>
      <w:r w:rsidR="0067647D">
        <w:rPr>
          <w:rFonts w:cstheme="minorHAnsi"/>
        </w:rPr>
        <w:t> </w:t>
      </w:r>
      <w:r w:rsidRPr="00C369A6">
        <w:rPr>
          <w:rFonts w:cstheme="minorHAnsi"/>
        </w:rPr>
        <w:t>(29</w:t>
      </w:r>
      <w:r w:rsidR="0067647D">
        <w:rPr>
          <w:rFonts w:cstheme="minorHAnsi"/>
        </w:rPr>
        <w:t> </w:t>
      </w:r>
      <w:r w:rsidRPr="00C369A6">
        <w:rPr>
          <w:rFonts w:cstheme="minorHAnsi"/>
        </w:rPr>
        <w:t>mld. Kč/4,3 %).</w:t>
      </w:r>
    </w:p>
    <w:p w14:paraId="79347497" w14:textId="5F6D0850" w:rsidR="00C369A6" w:rsidRPr="00C369A6" w:rsidRDefault="00C369A6" w:rsidP="00C369A6">
      <w:pPr>
        <w:pStyle w:val="Odstavecseseznamem"/>
        <w:numPr>
          <w:ilvl w:val="0"/>
          <w:numId w:val="27"/>
        </w:numPr>
        <w:spacing w:after="0" w:line="240" w:lineRule="auto"/>
        <w:jc w:val="both"/>
        <w:rPr>
          <w:rFonts w:cstheme="minorHAnsi"/>
          <w:b/>
          <w:bCs/>
        </w:rPr>
      </w:pPr>
      <w:r w:rsidRPr="00C369A6">
        <w:rPr>
          <w:rFonts w:cstheme="minorHAnsi"/>
          <w:b/>
          <w:bCs/>
        </w:rPr>
        <w:t xml:space="preserve">Nejvyšší meziroční růsty vývozu do jednotlivých zemí </w:t>
      </w:r>
      <w:r w:rsidRPr="00C369A6">
        <w:rPr>
          <w:rFonts w:cstheme="minorHAnsi"/>
        </w:rPr>
        <w:t>byly zaznamenány</w:t>
      </w:r>
      <w:r w:rsidRPr="00C369A6">
        <w:rPr>
          <w:rFonts w:cstheme="minorHAnsi"/>
          <w:b/>
          <w:bCs/>
        </w:rPr>
        <w:t xml:space="preserve"> </w:t>
      </w:r>
      <w:r w:rsidRPr="00C369A6">
        <w:rPr>
          <w:rFonts w:cstheme="minorHAnsi"/>
        </w:rPr>
        <w:t>do Německ</w:t>
      </w:r>
      <w:r w:rsidR="0067647D">
        <w:rPr>
          <w:rFonts w:cstheme="minorHAnsi"/>
        </w:rPr>
        <w:t xml:space="preserve">a </w:t>
      </w:r>
      <w:r w:rsidRPr="00C369A6">
        <w:rPr>
          <w:rFonts w:cstheme="minorHAnsi"/>
        </w:rPr>
        <w:t>(42,2</w:t>
      </w:r>
      <w:r w:rsidR="0067647D">
        <w:rPr>
          <w:rFonts w:cstheme="minorHAnsi"/>
        </w:rPr>
        <w:t> </w:t>
      </w:r>
      <w:r w:rsidRPr="00C369A6">
        <w:rPr>
          <w:rFonts w:cstheme="minorHAnsi"/>
        </w:rPr>
        <w:t>mld.</w:t>
      </w:r>
      <w:r w:rsidR="0067647D">
        <w:rPr>
          <w:rFonts w:cstheme="minorHAnsi"/>
        </w:rPr>
        <w:t> </w:t>
      </w:r>
      <w:r w:rsidRPr="00C369A6">
        <w:rPr>
          <w:rFonts w:cstheme="minorHAnsi"/>
        </w:rPr>
        <w:t>Kč/3,4</w:t>
      </w:r>
      <w:r w:rsidR="0067647D">
        <w:rPr>
          <w:rFonts w:cstheme="minorHAnsi"/>
        </w:rPr>
        <w:t> </w:t>
      </w:r>
      <w:r w:rsidRPr="00C369A6">
        <w:rPr>
          <w:rFonts w:cstheme="minorHAnsi"/>
        </w:rPr>
        <w:t>%), Slovenska (17,4 mld. Kč/4,7 %), Turecka (17,2 mld. Kč/33,9 %), Spojeného království (14,3 mld. Kč/8,7 %) a</w:t>
      </w:r>
      <w:r w:rsidR="000F25DC">
        <w:rPr>
          <w:rFonts w:cstheme="minorHAnsi"/>
        </w:rPr>
        <w:t> </w:t>
      </w:r>
      <w:r w:rsidRPr="00C369A6">
        <w:rPr>
          <w:rFonts w:cstheme="minorHAnsi"/>
        </w:rPr>
        <w:t xml:space="preserve">Ukrajiny </w:t>
      </w:r>
      <w:bookmarkStart w:id="81" w:name="_Hlk168473432"/>
      <w:r w:rsidRPr="00C369A6">
        <w:rPr>
          <w:rFonts w:cstheme="minorHAnsi"/>
        </w:rPr>
        <w:t>(10,8 mld. Kč/45,8 %)</w:t>
      </w:r>
      <w:bookmarkEnd w:id="81"/>
      <w:r w:rsidRPr="00C369A6">
        <w:rPr>
          <w:rFonts w:cstheme="minorHAnsi"/>
        </w:rPr>
        <w:t>.</w:t>
      </w:r>
    </w:p>
    <w:p w14:paraId="6C69AF40" w14:textId="401BB1A7" w:rsidR="00C369A6" w:rsidRPr="00C369A6" w:rsidRDefault="00C369A6" w:rsidP="00C369A6">
      <w:pPr>
        <w:pStyle w:val="Odstavecseseznamem"/>
        <w:numPr>
          <w:ilvl w:val="0"/>
          <w:numId w:val="27"/>
        </w:numPr>
        <w:spacing w:after="0" w:line="240" w:lineRule="auto"/>
        <w:jc w:val="both"/>
        <w:rPr>
          <w:rFonts w:cstheme="minorHAnsi"/>
          <w:b/>
          <w:bCs/>
        </w:rPr>
      </w:pPr>
      <w:r w:rsidRPr="00C369A6">
        <w:rPr>
          <w:rFonts w:cstheme="minorHAnsi"/>
          <w:b/>
          <w:bCs/>
        </w:rPr>
        <w:t>Nejvyšší meziroční poklesy exportu do jednotlivých zemí</w:t>
      </w:r>
      <w:r w:rsidRPr="00C369A6">
        <w:rPr>
          <w:rFonts w:cstheme="minorHAnsi"/>
        </w:rPr>
        <w:t xml:space="preserve"> nastaly u</w:t>
      </w:r>
      <w:r w:rsidR="000F25DC">
        <w:rPr>
          <w:rFonts w:cstheme="minorHAnsi"/>
        </w:rPr>
        <w:t> </w:t>
      </w:r>
      <w:r w:rsidRPr="00C369A6">
        <w:rPr>
          <w:rFonts w:cstheme="minorHAnsi"/>
        </w:rPr>
        <w:t>Ruské federace (16,8</w:t>
      </w:r>
      <w:r w:rsidR="0067647D">
        <w:rPr>
          <w:rFonts w:cstheme="minorHAnsi"/>
        </w:rPr>
        <w:t> </w:t>
      </w:r>
      <w:r w:rsidRPr="00C369A6">
        <w:rPr>
          <w:rFonts w:cstheme="minorHAnsi"/>
        </w:rPr>
        <w:t>mld.</w:t>
      </w:r>
      <w:r w:rsidR="0067647D">
        <w:rPr>
          <w:rFonts w:cstheme="minorHAnsi"/>
        </w:rPr>
        <w:t> </w:t>
      </w:r>
      <w:r w:rsidRPr="00C369A6">
        <w:rPr>
          <w:rFonts w:cstheme="minorHAnsi"/>
        </w:rPr>
        <w:t>Kč/52,1</w:t>
      </w:r>
      <w:r w:rsidR="0067647D">
        <w:rPr>
          <w:rFonts w:cstheme="minorHAnsi"/>
        </w:rPr>
        <w:t> </w:t>
      </w:r>
      <w:r w:rsidRPr="00C369A6">
        <w:rPr>
          <w:rFonts w:cstheme="minorHAnsi"/>
        </w:rPr>
        <w:t>%), Rakouska (10,5 mld. Kč/5,6 %), Spojených států (3,5 mld. Kč/3,1 %), Norska (2,7</w:t>
      </w:r>
      <w:r w:rsidR="0067647D">
        <w:rPr>
          <w:rFonts w:cstheme="minorHAnsi"/>
        </w:rPr>
        <w:t> </w:t>
      </w:r>
      <w:r w:rsidRPr="00C369A6">
        <w:rPr>
          <w:rFonts w:cstheme="minorHAnsi"/>
        </w:rPr>
        <w:t>mld. Kč/11,2 %) a</w:t>
      </w:r>
      <w:r w:rsidR="000F25DC">
        <w:rPr>
          <w:rFonts w:cstheme="minorHAnsi"/>
        </w:rPr>
        <w:t> </w:t>
      </w:r>
      <w:r w:rsidRPr="00C369A6">
        <w:rPr>
          <w:rFonts w:cstheme="minorHAnsi"/>
        </w:rPr>
        <w:t>Číny (2,4 mld. Kč/5,4 %).</w:t>
      </w:r>
    </w:p>
    <w:p w14:paraId="2D7527C2" w14:textId="3373F36B" w:rsidR="00C369A6" w:rsidRPr="00C369A6" w:rsidRDefault="00C369A6" w:rsidP="00C369A6">
      <w:pPr>
        <w:pStyle w:val="Odstavecseseznamem"/>
        <w:numPr>
          <w:ilvl w:val="0"/>
          <w:numId w:val="27"/>
        </w:numPr>
        <w:spacing w:after="0" w:line="240" w:lineRule="auto"/>
        <w:jc w:val="both"/>
        <w:rPr>
          <w:rFonts w:cstheme="minorHAnsi"/>
        </w:rPr>
      </w:pPr>
      <w:r w:rsidRPr="00C369A6">
        <w:rPr>
          <w:rFonts w:cstheme="minorHAnsi"/>
          <w:b/>
          <w:bCs/>
        </w:rPr>
        <w:t xml:space="preserve">Míra diverzity celkového vývozu (HHI) </w:t>
      </w:r>
      <w:r w:rsidRPr="00C369A6">
        <w:rPr>
          <w:rFonts w:cstheme="minorHAnsi"/>
        </w:rPr>
        <w:t>dle kategorií SITC (2)</w:t>
      </w:r>
      <w:r w:rsidRPr="00C369A6">
        <w:rPr>
          <w:rFonts w:cstheme="minorHAnsi"/>
          <w:b/>
          <w:bCs/>
        </w:rPr>
        <w:t xml:space="preserve"> </w:t>
      </w:r>
      <w:r w:rsidRPr="00C369A6">
        <w:rPr>
          <w:rFonts w:cstheme="minorHAnsi"/>
        </w:rPr>
        <w:t>vzrostla mezi roky 2022 a</w:t>
      </w:r>
      <w:r w:rsidR="000F25DC">
        <w:rPr>
          <w:rFonts w:cstheme="minorHAnsi"/>
        </w:rPr>
        <w:t> </w:t>
      </w:r>
      <w:r w:rsidRPr="00C369A6">
        <w:rPr>
          <w:rFonts w:cstheme="minorHAnsi"/>
        </w:rPr>
        <w:t xml:space="preserve">2023 ze 744 na 910 bodů, </w:t>
      </w:r>
      <w:r w:rsidRPr="00C369A6">
        <w:rPr>
          <w:rFonts w:cstheme="minorHAnsi"/>
          <w:b/>
          <w:bCs/>
        </w:rPr>
        <w:t>dle jednotlivých partnerských zemí</w:t>
      </w:r>
      <w:r w:rsidRPr="00C369A6">
        <w:rPr>
          <w:rFonts w:cstheme="minorHAnsi"/>
        </w:rPr>
        <w:t xml:space="preserve"> naopak mírně klesla z</w:t>
      </w:r>
      <w:r w:rsidR="000F25DC">
        <w:rPr>
          <w:rFonts w:cstheme="minorHAnsi"/>
        </w:rPr>
        <w:t> </w:t>
      </w:r>
      <w:r w:rsidRPr="00C369A6">
        <w:rPr>
          <w:rFonts w:cstheme="minorHAnsi"/>
        </w:rPr>
        <w:t>1195 na 1175 bodů.</w:t>
      </w:r>
    </w:p>
    <w:p w14:paraId="0282FA8C" w14:textId="77777777" w:rsidR="00C369A6" w:rsidRPr="002E62C5" w:rsidRDefault="00C369A6" w:rsidP="004D3ABD">
      <w:pPr>
        <w:pStyle w:val="Nadpis2"/>
        <w:numPr>
          <w:ilvl w:val="1"/>
          <w:numId w:val="21"/>
        </w:numPr>
        <w:spacing w:before="80"/>
        <w:ind w:left="567" w:hanging="567"/>
      </w:pPr>
      <w:bookmarkStart w:id="82" w:name="_Toc169181876"/>
      <w:r w:rsidRPr="002E62C5">
        <w:t>Vývoj rozdělení vývozu dle kategorií velikosti rezidentních exportérů</w:t>
      </w:r>
      <w:bookmarkEnd w:id="82"/>
      <w:r w:rsidRPr="002E62C5">
        <w:t xml:space="preserve"> </w:t>
      </w:r>
    </w:p>
    <w:p w14:paraId="75D281C1" w14:textId="77777777" w:rsidR="00C369A6" w:rsidRPr="00C301FC" w:rsidRDefault="00C369A6" w:rsidP="00C369A6">
      <w:pPr>
        <w:spacing w:after="0" w:line="240" w:lineRule="auto"/>
        <w:jc w:val="both"/>
        <w:rPr>
          <w:sz w:val="4"/>
          <w:szCs w:val="4"/>
        </w:rPr>
      </w:pPr>
    </w:p>
    <w:tbl>
      <w:tblPr>
        <w:tblW w:w="9634" w:type="dxa"/>
        <w:tblLayout w:type="fixed"/>
        <w:tblCellMar>
          <w:left w:w="70" w:type="dxa"/>
          <w:right w:w="70" w:type="dxa"/>
        </w:tblCellMar>
        <w:tblLook w:val="04A0" w:firstRow="1" w:lastRow="0" w:firstColumn="1" w:lastColumn="0" w:noHBand="0" w:noVBand="1"/>
      </w:tblPr>
      <w:tblGrid>
        <w:gridCol w:w="2950"/>
        <w:gridCol w:w="1114"/>
        <w:gridCol w:w="1114"/>
        <w:gridCol w:w="1114"/>
        <w:gridCol w:w="1114"/>
        <w:gridCol w:w="1114"/>
        <w:gridCol w:w="1114"/>
      </w:tblGrid>
      <w:tr w:rsidR="00C369A6" w:rsidRPr="00383398" w14:paraId="5E3EC152" w14:textId="77777777" w:rsidTr="007E4EC9">
        <w:trPr>
          <w:trHeight w:val="284"/>
        </w:trPr>
        <w:tc>
          <w:tcPr>
            <w:tcW w:w="963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7C8D276" w14:textId="094FF790" w:rsidR="00C369A6" w:rsidRPr="00383398" w:rsidRDefault="00C369A6" w:rsidP="007A386D">
            <w:pPr>
              <w:spacing w:after="0" w:line="240" w:lineRule="auto"/>
              <w:jc w:val="center"/>
              <w:rPr>
                <w:rFonts w:eastAsia="Times New Roman" w:cstheme="minorHAnsi"/>
                <w:i/>
                <w:iCs/>
                <w:color w:val="auto"/>
                <w:sz w:val="20"/>
                <w:szCs w:val="20"/>
                <w:lang w:eastAsia="cs-CZ"/>
              </w:rPr>
            </w:pPr>
            <w:r w:rsidRPr="00383398">
              <w:rPr>
                <w:rFonts w:eastAsia="Times New Roman" w:cstheme="minorHAnsi"/>
                <w:i/>
                <w:iCs/>
                <w:color w:val="auto"/>
                <w:sz w:val="20"/>
                <w:szCs w:val="20"/>
                <w:lang w:eastAsia="cs-CZ"/>
              </w:rPr>
              <w:t>Odhad podílů rezidentních exportérů na vývozu zboží z</w:t>
            </w:r>
            <w:r w:rsidR="000F25DC">
              <w:rPr>
                <w:rFonts w:eastAsia="Times New Roman" w:cstheme="minorHAnsi"/>
                <w:i/>
                <w:iCs/>
                <w:color w:val="auto"/>
                <w:sz w:val="20"/>
                <w:szCs w:val="20"/>
                <w:lang w:eastAsia="cs-CZ"/>
              </w:rPr>
              <w:t> </w:t>
            </w:r>
            <w:r w:rsidRPr="00383398">
              <w:rPr>
                <w:rFonts w:eastAsia="Times New Roman" w:cstheme="minorHAnsi"/>
                <w:i/>
                <w:iCs/>
                <w:color w:val="auto"/>
                <w:sz w:val="20"/>
                <w:szCs w:val="20"/>
                <w:lang w:eastAsia="cs-CZ"/>
              </w:rPr>
              <w:t>ČR dle kategorií počtu jejich zaměstnanců (%)</w:t>
            </w:r>
          </w:p>
        </w:tc>
      </w:tr>
      <w:tr w:rsidR="00C369A6" w:rsidRPr="00383398" w14:paraId="3EA57941" w14:textId="77777777" w:rsidTr="007E4EC9">
        <w:trPr>
          <w:trHeight w:val="236"/>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288B596E"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Rok \ Kategorie počtu zaměstnanců</w:t>
            </w:r>
          </w:p>
        </w:tc>
        <w:tc>
          <w:tcPr>
            <w:tcW w:w="1114" w:type="dxa"/>
            <w:tcBorders>
              <w:top w:val="nil"/>
              <w:left w:val="nil"/>
              <w:bottom w:val="single" w:sz="4" w:space="0" w:color="auto"/>
              <w:right w:val="single" w:sz="4" w:space="0" w:color="auto"/>
            </w:tcBorders>
            <w:shd w:val="clear" w:color="auto" w:fill="auto"/>
            <w:noWrap/>
            <w:vAlign w:val="center"/>
            <w:hideMark/>
          </w:tcPr>
          <w:p w14:paraId="04F2A75B"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0 až 9</w:t>
            </w:r>
          </w:p>
        </w:tc>
        <w:tc>
          <w:tcPr>
            <w:tcW w:w="1114" w:type="dxa"/>
            <w:tcBorders>
              <w:top w:val="nil"/>
              <w:left w:val="nil"/>
              <w:bottom w:val="single" w:sz="4" w:space="0" w:color="auto"/>
              <w:right w:val="single" w:sz="4" w:space="0" w:color="auto"/>
            </w:tcBorders>
            <w:shd w:val="clear" w:color="auto" w:fill="auto"/>
            <w:noWrap/>
            <w:vAlign w:val="center"/>
            <w:hideMark/>
          </w:tcPr>
          <w:p w14:paraId="6C0B1217"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10 až 49</w:t>
            </w:r>
          </w:p>
        </w:tc>
        <w:tc>
          <w:tcPr>
            <w:tcW w:w="1114" w:type="dxa"/>
            <w:tcBorders>
              <w:top w:val="nil"/>
              <w:left w:val="nil"/>
              <w:bottom w:val="single" w:sz="4" w:space="0" w:color="auto"/>
              <w:right w:val="single" w:sz="4" w:space="0" w:color="auto"/>
            </w:tcBorders>
            <w:shd w:val="clear" w:color="auto" w:fill="auto"/>
            <w:noWrap/>
            <w:vAlign w:val="center"/>
            <w:hideMark/>
          </w:tcPr>
          <w:p w14:paraId="7FC1F9DB"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50 až 249</w:t>
            </w:r>
          </w:p>
        </w:tc>
        <w:tc>
          <w:tcPr>
            <w:tcW w:w="1114" w:type="dxa"/>
            <w:tcBorders>
              <w:top w:val="nil"/>
              <w:left w:val="nil"/>
              <w:bottom w:val="single" w:sz="4" w:space="0" w:color="auto"/>
              <w:right w:val="single" w:sz="4" w:space="0" w:color="auto"/>
            </w:tcBorders>
            <w:shd w:val="clear" w:color="auto" w:fill="auto"/>
            <w:noWrap/>
            <w:vAlign w:val="center"/>
            <w:hideMark/>
          </w:tcPr>
          <w:p w14:paraId="4F9B505A"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nad 250</w:t>
            </w:r>
          </w:p>
        </w:tc>
        <w:tc>
          <w:tcPr>
            <w:tcW w:w="1114" w:type="dxa"/>
            <w:tcBorders>
              <w:top w:val="nil"/>
              <w:left w:val="nil"/>
              <w:bottom w:val="single" w:sz="4" w:space="0" w:color="auto"/>
              <w:right w:val="single" w:sz="4" w:space="0" w:color="auto"/>
            </w:tcBorders>
            <w:shd w:val="clear" w:color="auto" w:fill="auto"/>
            <w:noWrap/>
            <w:vAlign w:val="center"/>
            <w:hideMark/>
          </w:tcPr>
          <w:p w14:paraId="14666809"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Neuvedeno</w:t>
            </w:r>
          </w:p>
        </w:tc>
        <w:tc>
          <w:tcPr>
            <w:tcW w:w="1114" w:type="dxa"/>
            <w:tcBorders>
              <w:top w:val="nil"/>
              <w:left w:val="nil"/>
              <w:bottom w:val="single" w:sz="4" w:space="0" w:color="auto"/>
              <w:right w:val="single" w:sz="4" w:space="0" w:color="auto"/>
            </w:tcBorders>
            <w:shd w:val="clear" w:color="auto" w:fill="auto"/>
            <w:noWrap/>
            <w:vAlign w:val="center"/>
            <w:hideMark/>
          </w:tcPr>
          <w:p w14:paraId="37B1E4DB"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Celkem</w:t>
            </w:r>
          </w:p>
        </w:tc>
      </w:tr>
      <w:tr w:rsidR="00C369A6" w:rsidRPr="00383398" w14:paraId="79E64634" w14:textId="77777777" w:rsidTr="007E4EC9">
        <w:trPr>
          <w:trHeight w:val="236"/>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6D298854"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2022</w:t>
            </w:r>
          </w:p>
        </w:tc>
        <w:tc>
          <w:tcPr>
            <w:tcW w:w="1114" w:type="dxa"/>
            <w:tcBorders>
              <w:top w:val="nil"/>
              <w:left w:val="nil"/>
              <w:bottom w:val="single" w:sz="4" w:space="0" w:color="auto"/>
              <w:right w:val="single" w:sz="4" w:space="0" w:color="auto"/>
            </w:tcBorders>
            <w:shd w:val="clear" w:color="auto" w:fill="auto"/>
            <w:noWrap/>
            <w:vAlign w:val="bottom"/>
            <w:hideMark/>
          </w:tcPr>
          <w:p w14:paraId="6D5FF6EC"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5,4</w:t>
            </w:r>
          </w:p>
        </w:tc>
        <w:tc>
          <w:tcPr>
            <w:tcW w:w="1114" w:type="dxa"/>
            <w:tcBorders>
              <w:top w:val="nil"/>
              <w:left w:val="nil"/>
              <w:bottom w:val="single" w:sz="4" w:space="0" w:color="auto"/>
              <w:right w:val="single" w:sz="4" w:space="0" w:color="auto"/>
            </w:tcBorders>
            <w:shd w:val="clear" w:color="auto" w:fill="auto"/>
            <w:noWrap/>
            <w:vAlign w:val="bottom"/>
            <w:hideMark/>
          </w:tcPr>
          <w:p w14:paraId="1590B80B"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7,6</w:t>
            </w:r>
          </w:p>
        </w:tc>
        <w:tc>
          <w:tcPr>
            <w:tcW w:w="1114" w:type="dxa"/>
            <w:tcBorders>
              <w:top w:val="nil"/>
              <w:left w:val="nil"/>
              <w:bottom w:val="single" w:sz="4" w:space="0" w:color="auto"/>
              <w:right w:val="single" w:sz="4" w:space="0" w:color="auto"/>
            </w:tcBorders>
            <w:shd w:val="clear" w:color="auto" w:fill="auto"/>
            <w:noWrap/>
            <w:vAlign w:val="bottom"/>
            <w:hideMark/>
          </w:tcPr>
          <w:p w14:paraId="6BF13EA8"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19,3</w:t>
            </w:r>
          </w:p>
        </w:tc>
        <w:tc>
          <w:tcPr>
            <w:tcW w:w="1114" w:type="dxa"/>
            <w:tcBorders>
              <w:top w:val="nil"/>
              <w:left w:val="nil"/>
              <w:bottom w:val="single" w:sz="4" w:space="0" w:color="auto"/>
              <w:right w:val="single" w:sz="4" w:space="0" w:color="auto"/>
            </w:tcBorders>
            <w:shd w:val="clear" w:color="auto" w:fill="auto"/>
            <w:noWrap/>
            <w:vAlign w:val="bottom"/>
            <w:hideMark/>
          </w:tcPr>
          <w:p w14:paraId="20FDA9DF"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61,2</w:t>
            </w:r>
          </w:p>
        </w:tc>
        <w:tc>
          <w:tcPr>
            <w:tcW w:w="1114" w:type="dxa"/>
            <w:tcBorders>
              <w:top w:val="nil"/>
              <w:left w:val="nil"/>
              <w:bottom w:val="single" w:sz="4" w:space="0" w:color="auto"/>
              <w:right w:val="single" w:sz="4" w:space="0" w:color="auto"/>
            </w:tcBorders>
            <w:shd w:val="clear" w:color="auto" w:fill="auto"/>
            <w:noWrap/>
            <w:vAlign w:val="bottom"/>
            <w:hideMark/>
          </w:tcPr>
          <w:p w14:paraId="3E6A86C9"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6,5</w:t>
            </w:r>
          </w:p>
        </w:tc>
        <w:tc>
          <w:tcPr>
            <w:tcW w:w="1114" w:type="dxa"/>
            <w:tcBorders>
              <w:top w:val="nil"/>
              <w:left w:val="nil"/>
              <w:bottom w:val="single" w:sz="4" w:space="0" w:color="auto"/>
              <w:right w:val="single" w:sz="4" w:space="0" w:color="auto"/>
            </w:tcBorders>
            <w:shd w:val="clear" w:color="auto" w:fill="auto"/>
            <w:noWrap/>
            <w:vAlign w:val="bottom"/>
            <w:hideMark/>
          </w:tcPr>
          <w:p w14:paraId="17C19E65"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100,0</w:t>
            </w:r>
          </w:p>
        </w:tc>
      </w:tr>
      <w:tr w:rsidR="00C369A6" w:rsidRPr="00383398" w14:paraId="4BBC36EE" w14:textId="77777777" w:rsidTr="007E4EC9">
        <w:trPr>
          <w:trHeight w:val="236"/>
        </w:trPr>
        <w:tc>
          <w:tcPr>
            <w:tcW w:w="2950" w:type="dxa"/>
            <w:tcBorders>
              <w:top w:val="nil"/>
              <w:left w:val="single" w:sz="4" w:space="0" w:color="auto"/>
              <w:bottom w:val="single" w:sz="4" w:space="0" w:color="auto"/>
              <w:right w:val="single" w:sz="4" w:space="0" w:color="auto"/>
            </w:tcBorders>
            <w:shd w:val="clear" w:color="auto" w:fill="auto"/>
            <w:noWrap/>
            <w:vAlign w:val="bottom"/>
            <w:hideMark/>
          </w:tcPr>
          <w:p w14:paraId="12203DF7" w14:textId="77777777" w:rsidR="00C369A6" w:rsidRPr="00383398" w:rsidRDefault="00C369A6" w:rsidP="007A386D">
            <w:pPr>
              <w:spacing w:after="0" w:line="240" w:lineRule="auto"/>
              <w:rPr>
                <w:rFonts w:eastAsia="Times New Roman" w:cstheme="minorHAnsi"/>
                <w:color w:val="auto"/>
                <w:sz w:val="20"/>
                <w:szCs w:val="20"/>
                <w:lang w:eastAsia="cs-CZ"/>
              </w:rPr>
            </w:pPr>
            <w:r w:rsidRPr="00383398">
              <w:rPr>
                <w:rFonts w:eastAsia="Times New Roman" w:cstheme="minorHAnsi"/>
                <w:color w:val="auto"/>
                <w:sz w:val="20"/>
                <w:szCs w:val="20"/>
                <w:lang w:eastAsia="cs-CZ"/>
              </w:rPr>
              <w:t>2023</w:t>
            </w:r>
          </w:p>
        </w:tc>
        <w:tc>
          <w:tcPr>
            <w:tcW w:w="1114" w:type="dxa"/>
            <w:tcBorders>
              <w:top w:val="nil"/>
              <w:left w:val="nil"/>
              <w:bottom w:val="single" w:sz="4" w:space="0" w:color="auto"/>
              <w:right w:val="single" w:sz="4" w:space="0" w:color="auto"/>
            </w:tcBorders>
            <w:shd w:val="clear" w:color="auto" w:fill="auto"/>
            <w:noWrap/>
            <w:vAlign w:val="bottom"/>
            <w:hideMark/>
          </w:tcPr>
          <w:p w14:paraId="79F5F6FB"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4,8</w:t>
            </w:r>
          </w:p>
        </w:tc>
        <w:tc>
          <w:tcPr>
            <w:tcW w:w="1114" w:type="dxa"/>
            <w:tcBorders>
              <w:top w:val="nil"/>
              <w:left w:val="nil"/>
              <w:bottom w:val="single" w:sz="4" w:space="0" w:color="auto"/>
              <w:right w:val="single" w:sz="4" w:space="0" w:color="auto"/>
            </w:tcBorders>
            <w:shd w:val="clear" w:color="auto" w:fill="auto"/>
            <w:noWrap/>
            <w:vAlign w:val="bottom"/>
            <w:hideMark/>
          </w:tcPr>
          <w:p w14:paraId="6C10FB9C"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7,0</w:t>
            </w:r>
          </w:p>
        </w:tc>
        <w:tc>
          <w:tcPr>
            <w:tcW w:w="1114" w:type="dxa"/>
            <w:tcBorders>
              <w:top w:val="nil"/>
              <w:left w:val="nil"/>
              <w:bottom w:val="single" w:sz="4" w:space="0" w:color="auto"/>
              <w:right w:val="single" w:sz="4" w:space="0" w:color="auto"/>
            </w:tcBorders>
            <w:shd w:val="clear" w:color="auto" w:fill="auto"/>
            <w:noWrap/>
            <w:vAlign w:val="bottom"/>
            <w:hideMark/>
          </w:tcPr>
          <w:p w14:paraId="62917666"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18,5</w:t>
            </w:r>
          </w:p>
        </w:tc>
        <w:tc>
          <w:tcPr>
            <w:tcW w:w="1114" w:type="dxa"/>
            <w:tcBorders>
              <w:top w:val="nil"/>
              <w:left w:val="nil"/>
              <w:bottom w:val="single" w:sz="4" w:space="0" w:color="auto"/>
              <w:right w:val="single" w:sz="4" w:space="0" w:color="auto"/>
            </w:tcBorders>
            <w:shd w:val="clear" w:color="auto" w:fill="auto"/>
            <w:noWrap/>
            <w:vAlign w:val="bottom"/>
            <w:hideMark/>
          </w:tcPr>
          <w:p w14:paraId="01780219"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63,0</w:t>
            </w:r>
          </w:p>
        </w:tc>
        <w:tc>
          <w:tcPr>
            <w:tcW w:w="1114" w:type="dxa"/>
            <w:tcBorders>
              <w:top w:val="nil"/>
              <w:left w:val="nil"/>
              <w:bottom w:val="single" w:sz="4" w:space="0" w:color="auto"/>
              <w:right w:val="single" w:sz="4" w:space="0" w:color="auto"/>
            </w:tcBorders>
            <w:shd w:val="clear" w:color="auto" w:fill="auto"/>
            <w:noWrap/>
            <w:vAlign w:val="bottom"/>
            <w:hideMark/>
          </w:tcPr>
          <w:p w14:paraId="73F520CB"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6,7</w:t>
            </w:r>
          </w:p>
        </w:tc>
        <w:tc>
          <w:tcPr>
            <w:tcW w:w="1114" w:type="dxa"/>
            <w:tcBorders>
              <w:top w:val="nil"/>
              <w:left w:val="nil"/>
              <w:bottom w:val="single" w:sz="4" w:space="0" w:color="auto"/>
              <w:right w:val="single" w:sz="4" w:space="0" w:color="auto"/>
            </w:tcBorders>
            <w:shd w:val="clear" w:color="auto" w:fill="auto"/>
            <w:noWrap/>
            <w:vAlign w:val="bottom"/>
            <w:hideMark/>
          </w:tcPr>
          <w:p w14:paraId="1DF7EFEE" w14:textId="77777777" w:rsidR="00C369A6" w:rsidRPr="00383398" w:rsidRDefault="00C369A6" w:rsidP="007A386D">
            <w:pPr>
              <w:spacing w:after="0" w:line="240" w:lineRule="auto"/>
              <w:jc w:val="right"/>
              <w:rPr>
                <w:rFonts w:eastAsia="Times New Roman" w:cstheme="minorHAnsi"/>
                <w:color w:val="auto"/>
                <w:sz w:val="20"/>
                <w:szCs w:val="20"/>
                <w:lang w:eastAsia="cs-CZ"/>
              </w:rPr>
            </w:pPr>
            <w:r w:rsidRPr="00383398">
              <w:rPr>
                <w:rFonts w:eastAsia="Times New Roman" w:cstheme="minorHAnsi"/>
                <w:color w:val="auto"/>
                <w:sz w:val="20"/>
                <w:szCs w:val="20"/>
                <w:lang w:eastAsia="cs-CZ"/>
              </w:rPr>
              <w:t>100,0</w:t>
            </w:r>
          </w:p>
        </w:tc>
      </w:tr>
    </w:tbl>
    <w:p w14:paraId="0E942E84" w14:textId="2188CC8D" w:rsidR="00C369A6" w:rsidRDefault="00C369A6" w:rsidP="00C369A6">
      <w:pPr>
        <w:spacing w:after="0" w:line="240" w:lineRule="auto"/>
        <w:jc w:val="right"/>
        <w:rPr>
          <w:rFonts w:eastAsia="Times New Roman" w:cstheme="minorHAnsi"/>
          <w:i/>
          <w:iCs/>
          <w:color w:val="auto"/>
          <w:sz w:val="18"/>
          <w:szCs w:val="18"/>
          <w:lang w:eastAsia="cs-CZ"/>
        </w:rPr>
      </w:pPr>
      <w:r w:rsidRPr="008B36B7">
        <w:rPr>
          <w:rFonts w:asciiTheme="majorHAnsi" w:eastAsiaTheme="majorEastAsia" w:hAnsiTheme="majorHAnsi" w:cstheme="majorBidi"/>
          <w:b/>
          <w:sz w:val="26"/>
          <w:szCs w:val="26"/>
        </w:rPr>
        <w:t xml:space="preserve">                                </w:t>
      </w:r>
      <w:r w:rsidRPr="008B36B7">
        <w:rPr>
          <w:rFonts w:eastAsia="Times New Roman" w:cstheme="minorHAnsi"/>
          <w:i/>
          <w:iCs/>
          <w:color w:val="auto"/>
          <w:sz w:val="18"/>
          <w:szCs w:val="18"/>
          <w:lang w:eastAsia="cs-CZ"/>
        </w:rPr>
        <w:t>Zdroj ČSÚ (údaje bez dopočtů), tabulka a</w:t>
      </w:r>
      <w:r w:rsidR="000F25DC">
        <w:rPr>
          <w:rFonts w:eastAsia="Times New Roman" w:cstheme="minorHAnsi"/>
          <w:i/>
          <w:iCs/>
          <w:color w:val="auto"/>
          <w:sz w:val="18"/>
          <w:szCs w:val="18"/>
          <w:lang w:eastAsia="cs-CZ"/>
        </w:rPr>
        <w:t> </w:t>
      </w:r>
      <w:r w:rsidRPr="008B36B7">
        <w:rPr>
          <w:rFonts w:eastAsia="Times New Roman" w:cstheme="minorHAnsi"/>
          <w:i/>
          <w:iCs/>
          <w:color w:val="auto"/>
          <w:sz w:val="18"/>
          <w:szCs w:val="18"/>
          <w:lang w:eastAsia="cs-CZ"/>
        </w:rPr>
        <w:t>výpočty MPO</w:t>
      </w:r>
    </w:p>
    <w:p w14:paraId="181C11BF" w14:textId="20011C16" w:rsidR="00214155" w:rsidRDefault="00214155">
      <w:pPr>
        <w:spacing w:after="200" w:line="276" w:lineRule="auto"/>
        <w:rPr>
          <w:rFonts w:eastAsia="Times New Roman" w:cstheme="minorHAnsi"/>
          <w:i/>
          <w:iCs/>
          <w:color w:val="auto"/>
          <w:sz w:val="18"/>
          <w:szCs w:val="18"/>
          <w:lang w:eastAsia="cs-CZ"/>
        </w:rPr>
      </w:pPr>
      <w:r>
        <w:rPr>
          <w:rFonts w:eastAsia="Times New Roman" w:cstheme="minorHAnsi"/>
          <w:i/>
          <w:iCs/>
          <w:color w:val="auto"/>
          <w:sz w:val="18"/>
          <w:szCs w:val="18"/>
          <w:lang w:eastAsia="cs-CZ"/>
        </w:rPr>
        <w:br w:type="page"/>
      </w:r>
    </w:p>
    <w:p w14:paraId="65C94090" w14:textId="1C053C1D" w:rsidR="00C369A6" w:rsidRDefault="00C369A6" w:rsidP="004D3ABD">
      <w:pPr>
        <w:pStyle w:val="Nadpis2"/>
        <w:numPr>
          <w:ilvl w:val="1"/>
          <w:numId w:val="21"/>
        </w:numPr>
        <w:spacing w:before="80"/>
        <w:ind w:left="567" w:hanging="567"/>
        <w:rPr>
          <w:bCs/>
          <w:i/>
          <w:iCs/>
          <w:sz w:val="18"/>
          <w:szCs w:val="18"/>
        </w:rPr>
      </w:pPr>
      <w:bookmarkStart w:id="83" w:name="_Toc169181877"/>
      <w:r w:rsidRPr="00383398">
        <w:lastRenderedPageBreak/>
        <w:t>Růst velikosti českých firem a</w:t>
      </w:r>
      <w:r w:rsidR="000F25DC">
        <w:t> </w:t>
      </w:r>
      <w:r w:rsidRPr="00383398">
        <w:t>zvyšování přítomnosti na zahraničních trzích</w:t>
      </w:r>
      <w:bookmarkEnd w:id="83"/>
    </w:p>
    <w:p w14:paraId="74BEC082" w14:textId="54DD9258" w:rsidR="00C369A6" w:rsidRPr="00383398" w:rsidRDefault="00C369A6" w:rsidP="0067647D">
      <w:pPr>
        <w:spacing w:after="120" w:line="240" w:lineRule="auto"/>
        <w:jc w:val="both"/>
        <w:rPr>
          <w:rFonts w:cstheme="minorHAnsi"/>
        </w:rPr>
      </w:pPr>
      <w:r>
        <w:rPr>
          <w:rFonts w:cstheme="minorHAnsi"/>
        </w:rPr>
        <w:t>M</w:t>
      </w:r>
      <w:r w:rsidRPr="00383398">
        <w:rPr>
          <w:rFonts w:cstheme="minorHAnsi"/>
        </w:rPr>
        <w:t>eziroční vývoj počtu rezidentních exportérů v</w:t>
      </w:r>
      <w:r w:rsidR="000F25DC">
        <w:rPr>
          <w:rFonts w:cstheme="minorHAnsi"/>
        </w:rPr>
        <w:t> </w:t>
      </w:r>
      <w:r w:rsidRPr="00383398">
        <w:rPr>
          <w:rFonts w:cstheme="minorHAnsi"/>
        </w:rPr>
        <w:t>porovnání s</w:t>
      </w:r>
      <w:r w:rsidR="000F25DC">
        <w:rPr>
          <w:rFonts w:cstheme="minorHAnsi"/>
        </w:rPr>
        <w:t> </w:t>
      </w:r>
      <w:r w:rsidRPr="00383398">
        <w:rPr>
          <w:rFonts w:cstheme="minorHAnsi"/>
        </w:rPr>
        <w:t>meziročním vývojem počtu rezidentních ekonomických subjektů v</w:t>
      </w:r>
      <w:r w:rsidR="000F25DC">
        <w:rPr>
          <w:rFonts w:cstheme="minorHAnsi"/>
        </w:rPr>
        <w:t> </w:t>
      </w:r>
      <w:r w:rsidRPr="00383398">
        <w:rPr>
          <w:rFonts w:cstheme="minorHAnsi"/>
        </w:rPr>
        <w:t>kategoriích velikosti subjektu dle počtu zaměstnanců.</w:t>
      </w:r>
    </w:p>
    <w:tbl>
      <w:tblPr>
        <w:tblW w:w="9639" w:type="dxa"/>
        <w:tblInd w:w="-5" w:type="dxa"/>
        <w:tblLayout w:type="fixed"/>
        <w:tblCellMar>
          <w:left w:w="70" w:type="dxa"/>
          <w:right w:w="70" w:type="dxa"/>
        </w:tblCellMar>
        <w:tblLook w:val="04A0" w:firstRow="1" w:lastRow="0" w:firstColumn="1" w:lastColumn="0" w:noHBand="0" w:noVBand="1"/>
      </w:tblPr>
      <w:tblGrid>
        <w:gridCol w:w="1276"/>
        <w:gridCol w:w="1039"/>
        <w:gridCol w:w="1040"/>
        <w:gridCol w:w="1040"/>
        <w:gridCol w:w="1134"/>
        <w:gridCol w:w="1134"/>
        <w:gridCol w:w="1134"/>
        <w:gridCol w:w="1842"/>
      </w:tblGrid>
      <w:tr w:rsidR="007E4EC9" w:rsidRPr="00383398" w14:paraId="6EA6B4D5" w14:textId="26978241" w:rsidTr="007E4EC9">
        <w:trPr>
          <w:trHeight w:val="271"/>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EC2027" w14:textId="77777777" w:rsidR="007E4EC9" w:rsidRPr="00383398" w:rsidRDefault="007E4EC9" w:rsidP="007A386D">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 </w:t>
            </w:r>
          </w:p>
        </w:tc>
        <w:tc>
          <w:tcPr>
            <w:tcW w:w="3119" w:type="dxa"/>
            <w:gridSpan w:val="3"/>
            <w:tcBorders>
              <w:top w:val="single" w:sz="4" w:space="0" w:color="auto"/>
              <w:left w:val="nil"/>
              <w:bottom w:val="single" w:sz="4" w:space="0" w:color="auto"/>
              <w:right w:val="single" w:sz="4" w:space="0" w:color="auto"/>
            </w:tcBorders>
            <w:shd w:val="clear" w:color="auto" w:fill="auto"/>
            <w:vAlign w:val="center"/>
            <w:hideMark/>
          </w:tcPr>
          <w:p w14:paraId="019A6BC9" w14:textId="77777777" w:rsidR="007E4EC9" w:rsidRPr="00383398" w:rsidRDefault="007E4EC9" w:rsidP="007A386D">
            <w:pPr>
              <w:spacing w:after="0" w:line="240" w:lineRule="auto"/>
              <w:jc w:val="center"/>
              <w:rPr>
                <w:rFonts w:eastAsia="Times New Roman" w:cstheme="minorHAnsi"/>
                <w:i/>
                <w:iCs/>
                <w:color w:val="000000"/>
                <w:sz w:val="20"/>
                <w:szCs w:val="20"/>
                <w:lang w:eastAsia="cs-CZ"/>
              </w:rPr>
            </w:pPr>
            <w:r w:rsidRPr="00383398">
              <w:rPr>
                <w:rFonts w:eastAsia="Times New Roman" w:cstheme="minorHAnsi"/>
                <w:i/>
                <w:iCs/>
                <w:color w:val="000000"/>
                <w:sz w:val="20"/>
                <w:szCs w:val="20"/>
                <w:lang w:eastAsia="cs-CZ"/>
              </w:rPr>
              <w:t>Rezidentní ekonomické subjekty se zjištěnou aktivitou</w:t>
            </w:r>
          </w:p>
        </w:tc>
        <w:tc>
          <w:tcPr>
            <w:tcW w:w="5244" w:type="dxa"/>
            <w:gridSpan w:val="4"/>
            <w:tcBorders>
              <w:top w:val="single" w:sz="4" w:space="0" w:color="auto"/>
              <w:left w:val="nil"/>
              <w:bottom w:val="single" w:sz="4" w:space="0" w:color="auto"/>
              <w:right w:val="single" w:sz="4" w:space="0" w:color="auto"/>
            </w:tcBorders>
            <w:shd w:val="clear" w:color="auto" w:fill="auto"/>
            <w:vAlign w:val="center"/>
            <w:hideMark/>
          </w:tcPr>
          <w:p w14:paraId="1D6CBB93" w14:textId="63356530" w:rsidR="007E4EC9" w:rsidRPr="00383398" w:rsidRDefault="007E4EC9" w:rsidP="007A386D">
            <w:pPr>
              <w:spacing w:after="0" w:line="240" w:lineRule="auto"/>
              <w:jc w:val="center"/>
              <w:rPr>
                <w:rFonts w:eastAsia="Times New Roman" w:cstheme="minorHAnsi"/>
                <w:i/>
                <w:iCs/>
                <w:color w:val="000000"/>
                <w:sz w:val="20"/>
                <w:szCs w:val="20"/>
                <w:lang w:eastAsia="cs-CZ"/>
              </w:rPr>
            </w:pPr>
            <w:r w:rsidRPr="00383398">
              <w:rPr>
                <w:rFonts w:eastAsia="Times New Roman" w:cstheme="minorHAnsi"/>
                <w:i/>
                <w:iCs/>
                <w:color w:val="000000"/>
                <w:sz w:val="20"/>
                <w:szCs w:val="20"/>
                <w:lang w:eastAsia="cs-CZ"/>
              </w:rPr>
              <w:t xml:space="preserve">Rezidentní exportéři </w:t>
            </w:r>
          </w:p>
        </w:tc>
      </w:tr>
      <w:tr w:rsidR="008154A4" w:rsidRPr="00383398" w14:paraId="4C66FD8B" w14:textId="6F64C693" w:rsidTr="007E4EC9">
        <w:trPr>
          <w:trHeight w:val="429"/>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C7436E5" w14:textId="77777777" w:rsidR="008154A4" w:rsidRPr="00383398" w:rsidRDefault="008154A4" w:rsidP="007A386D">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 xml:space="preserve">Kategorie počtu zaměstnanců  </w:t>
            </w:r>
          </w:p>
        </w:tc>
        <w:tc>
          <w:tcPr>
            <w:tcW w:w="1039" w:type="dxa"/>
            <w:tcBorders>
              <w:top w:val="nil"/>
              <w:left w:val="nil"/>
              <w:bottom w:val="single" w:sz="4" w:space="0" w:color="auto"/>
              <w:right w:val="single" w:sz="4" w:space="0" w:color="auto"/>
            </w:tcBorders>
            <w:shd w:val="clear" w:color="auto" w:fill="auto"/>
            <w:vAlign w:val="center"/>
            <w:hideMark/>
          </w:tcPr>
          <w:p w14:paraId="616AB373" w14:textId="77777777" w:rsidR="008154A4" w:rsidRPr="00383398" w:rsidRDefault="008154A4" w:rsidP="007E4EC9">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Počet 2022</w:t>
            </w:r>
          </w:p>
        </w:tc>
        <w:tc>
          <w:tcPr>
            <w:tcW w:w="1040" w:type="dxa"/>
            <w:tcBorders>
              <w:top w:val="nil"/>
              <w:left w:val="nil"/>
              <w:bottom w:val="single" w:sz="4" w:space="0" w:color="auto"/>
              <w:right w:val="single" w:sz="4" w:space="0" w:color="auto"/>
            </w:tcBorders>
            <w:shd w:val="clear" w:color="auto" w:fill="auto"/>
            <w:vAlign w:val="center"/>
            <w:hideMark/>
          </w:tcPr>
          <w:p w14:paraId="55732ED3" w14:textId="77777777" w:rsidR="008154A4" w:rsidRPr="00383398" w:rsidRDefault="008154A4" w:rsidP="007E4EC9">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Počet 2023</w:t>
            </w:r>
          </w:p>
        </w:tc>
        <w:tc>
          <w:tcPr>
            <w:tcW w:w="1040" w:type="dxa"/>
            <w:tcBorders>
              <w:top w:val="nil"/>
              <w:left w:val="nil"/>
              <w:bottom w:val="single" w:sz="4" w:space="0" w:color="auto"/>
              <w:right w:val="single" w:sz="4" w:space="0" w:color="auto"/>
            </w:tcBorders>
            <w:shd w:val="clear" w:color="auto" w:fill="auto"/>
            <w:vAlign w:val="center"/>
            <w:hideMark/>
          </w:tcPr>
          <w:p w14:paraId="3ED82BA5" w14:textId="77777777" w:rsidR="008154A4" w:rsidRPr="00383398" w:rsidRDefault="008154A4" w:rsidP="007E4EC9">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Odhad přírůstku 2023/22 (%)</w:t>
            </w:r>
          </w:p>
        </w:tc>
        <w:tc>
          <w:tcPr>
            <w:tcW w:w="1134" w:type="dxa"/>
            <w:tcBorders>
              <w:top w:val="nil"/>
              <w:left w:val="nil"/>
              <w:bottom w:val="single" w:sz="4" w:space="0" w:color="auto"/>
              <w:right w:val="single" w:sz="4" w:space="0" w:color="auto"/>
            </w:tcBorders>
            <w:shd w:val="clear" w:color="auto" w:fill="auto"/>
            <w:vAlign w:val="center"/>
            <w:hideMark/>
          </w:tcPr>
          <w:p w14:paraId="060F2E5D" w14:textId="77777777" w:rsidR="008154A4" w:rsidRPr="00383398" w:rsidRDefault="008154A4" w:rsidP="007E4EC9">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Počet 2022</w:t>
            </w:r>
          </w:p>
        </w:tc>
        <w:tc>
          <w:tcPr>
            <w:tcW w:w="1134" w:type="dxa"/>
            <w:tcBorders>
              <w:top w:val="nil"/>
              <w:left w:val="nil"/>
              <w:bottom w:val="single" w:sz="4" w:space="0" w:color="auto"/>
              <w:right w:val="single" w:sz="4" w:space="0" w:color="auto"/>
            </w:tcBorders>
            <w:shd w:val="clear" w:color="auto" w:fill="auto"/>
            <w:vAlign w:val="center"/>
            <w:hideMark/>
          </w:tcPr>
          <w:p w14:paraId="0F725BF6" w14:textId="77777777" w:rsidR="008154A4" w:rsidRPr="00383398" w:rsidRDefault="008154A4" w:rsidP="007E4EC9">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Počet 2023</w:t>
            </w:r>
          </w:p>
        </w:tc>
        <w:tc>
          <w:tcPr>
            <w:tcW w:w="1134" w:type="dxa"/>
            <w:tcBorders>
              <w:top w:val="nil"/>
              <w:left w:val="nil"/>
              <w:bottom w:val="single" w:sz="4" w:space="0" w:color="auto"/>
              <w:right w:val="single" w:sz="4" w:space="0" w:color="auto"/>
            </w:tcBorders>
            <w:shd w:val="clear" w:color="auto" w:fill="auto"/>
            <w:vAlign w:val="center"/>
            <w:hideMark/>
          </w:tcPr>
          <w:p w14:paraId="313EAC5B" w14:textId="77777777" w:rsidR="008154A4" w:rsidRPr="00383398" w:rsidRDefault="008154A4" w:rsidP="007E4EC9">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Odhad přírůstku 2023/22 (%)</w:t>
            </w:r>
          </w:p>
        </w:tc>
        <w:tc>
          <w:tcPr>
            <w:tcW w:w="1842" w:type="dxa"/>
            <w:tcBorders>
              <w:top w:val="nil"/>
              <w:left w:val="nil"/>
              <w:bottom w:val="single" w:sz="4" w:space="0" w:color="auto"/>
              <w:right w:val="single" w:sz="4" w:space="0" w:color="auto"/>
            </w:tcBorders>
          </w:tcPr>
          <w:p w14:paraId="0822DCE2" w14:textId="7517C51C" w:rsidR="008154A4" w:rsidRPr="00383398" w:rsidRDefault="007E4EC9" w:rsidP="007E4EC9">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Podíl rezidentních exportérů v</w:t>
            </w:r>
            <w:r w:rsidR="000F25DC">
              <w:rPr>
                <w:rFonts w:eastAsia="Times New Roman" w:cstheme="minorHAnsi"/>
                <w:color w:val="000000"/>
                <w:sz w:val="20"/>
                <w:szCs w:val="20"/>
                <w:lang w:eastAsia="cs-CZ"/>
              </w:rPr>
              <w:t> </w:t>
            </w:r>
            <w:r>
              <w:rPr>
                <w:rFonts w:eastAsia="Times New Roman" w:cstheme="minorHAnsi"/>
                <w:color w:val="000000"/>
                <w:sz w:val="20"/>
                <w:szCs w:val="20"/>
                <w:lang w:eastAsia="cs-CZ"/>
              </w:rPr>
              <w:t xml:space="preserve">aktivních ekonomických subjektech 2023 </w:t>
            </w:r>
            <w:r w:rsidRPr="00383398">
              <w:rPr>
                <w:rFonts w:eastAsia="Times New Roman" w:cstheme="minorHAnsi"/>
                <w:color w:val="000000"/>
                <w:sz w:val="20"/>
                <w:szCs w:val="20"/>
                <w:lang w:eastAsia="cs-CZ"/>
              </w:rPr>
              <w:t>(%)</w:t>
            </w:r>
          </w:p>
        </w:tc>
      </w:tr>
      <w:tr w:rsidR="008154A4" w:rsidRPr="00383398" w14:paraId="447EF2B1" w14:textId="3C8077BC" w:rsidTr="007E4EC9">
        <w:trPr>
          <w:trHeight w:val="21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6199936" w14:textId="77777777" w:rsidR="008154A4" w:rsidRPr="00383398" w:rsidRDefault="008154A4" w:rsidP="007A386D">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0 až 9</w:t>
            </w:r>
          </w:p>
        </w:tc>
        <w:tc>
          <w:tcPr>
            <w:tcW w:w="1039" w:type="dxa"/>
            <w:tcBorders>
              <w:top w:val="nil"/>
              <w:left w:val="nil"/>
              <w:bottom w:val="single" w:sz="4" w:space="0" w:color="auto"/>
              <w:right w:val="single" w:sz="4" w:space="0" w:color="auto"/>
            </w:tcBorders>
            <w:shd w:val="clear" w:color="auto" w:fill="auto"/>
            <w:noWrap/>
            <w:vAlign w:val="bottom"/>
            <w:hideMark/>
          </w:tcPr>
          <w:p w14:paraId="3F176CAE"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1 228 329</w:t>
            </w:r>
          </w:p>
        </w:tc>
        <w:tc>
          <w:tcPr>
            <w:tcW w:w="1040" w:type="dxa"/>
            <w:tcBorders>
              <w:top w:val="nil"/>
              <w:left w:val="nil"/>
              <w:bottom w:val="single" w:sz="4" w:space="0" w:color="auto"/>
              <w:right w:val="single" w:sz="4" w:space="0" w:color="auto"/>
            </w:tcBorders>
            <w:shd w:val="clear" w:color="auto" w:fill="auto"/>
            <w:noWrap/>
            <w:vAlign w:val="bottom"/>
            <w:hideMark/>
          </w:tcPr>
          <w:p w14:paraId="00B134AB"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1 251 066</w:t>
            </w:r>
          </w:p>
        </w:tc>
        <w:tc>
          <w:tcPr>
            <w:tcW w:w="1040" w:type="dxa"/>
            <w:tcBorders>
              <w:top w:val="nil"/>
              <w:left w:val="nil"/>
              <w:bottom w:val="single" w:sz="4" w:space="0" w:color="auto"/>
              <w:right w:val="single" w:sz="4" w:space="0" w:color="auto"/>
            </w:tcBorders>
            <w:shd w:val="clear" w:color="auto" w:fill="auto"/>
            <w:noWrap/>
            <w:vAlign w:val="bottom"/>
            <w:hideMark/>
          </w:tcPr>
          <w:p w14:paraId="293E355A"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1,85</w:t>
            </w:r>
          </w:p>
        </w:tc>
        <w:tc>
          <w:tcPr>
            <w:tcW w:w="1134" w:type="dxa"/>
            <w:tcBorders>
              <w:top w:val="nil"/>
              <w:left w:val="nil"/>
              <w:bottom w:val="single" w:sz="4" w:space="0" w:color="auto"/>
              <w:right w:val="single" w:sz="4" w:space="0" w:color="auto"/>
            </w:tcBorders>
            <w:shd w:val="clear" w:color="auto" w:fill="auto"/>
            <w:noWrap/>
            <w:vAlign w:val="bottom"/>
            <w:hideMark/>
          </w:tcPr>
          <w:p w14:paraId="52917E22"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9 385</w:t>
            </w:r>
          </w:p>
        </w:tc>
        <w:tc>
          <w:tcPr>
            <w:tcW w:w="1134" w:type="dxa"/>
            <w:tcBorders>
              <w:top w:val="nil"/>
              <w:left w:val="nil"/>
              <w:bottom w:val="single" w:sz="4" w:space="0" w:color="auto"/>
              <w:right w:val="single" w:sz="4" w:space="0" w:color="auto"/>
            </w:tcBorders>
            <w:shd w:val="clear" w:color="auto" w:fill="auto"/>
            <w:noWrap/>
            <w:vAlign w:val="bottom"/>
            <w:hideMark/>
          </w:tcPr>
          <w:p w14:paraId="32A0CBC9"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7 558</w:t>
            </w:r>
          </w:p>
        </w:tc>
        <w:tc>
          <w:tcPr>
            <w:tcW w:w="1134" w:type="dxa"/>
            <w:tcBorders>
              <w:top w:val="nil"/>
              <w:left w:val="nil"/>
              <w:bottom w:val="single" w:sz="4" w:space="0" w:color="auto"/>
              <w:right w:val="single" w:sz="4" w:space="0" w:color="auto"/>
            </w:tcBorders>
            <w:shd w:val="clear" w:color="auto" w:fill="auto"/>
            <w:noWrap/>
            <w:vAlign w:val="bottom"/>
            <w:hideMark/>
          </w:tcPr>
          <w:p w14:paraId="5DB6AFB1"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-19,47</w:t>
            </w:r>
          </w:p>
        </w:tc>
        <w:tc>
          <w:tcPr>
            <w:tcW w:w="1842" w:type="dxa"/>
            <w:tcBorders>
              <w:top w:val="nil"/>
              <w:left w:val="nil"/>
              <w:bottom w:val="single" w:sz="4" w:space="0" w:color="auto"/>
              <w:right w:val="single" w:sz="4" w:space="0" w:color="auto"/>
            </w:tcBorders>
          </w:tcPr>
          <w:p w14:paraId="277E3287" w14:textId="5B4615B3" w:rsidR="008154A4" w:rsidRPr="00383398" w:rsidRDefault="007E4EC9" w:rsidP="007A386D">
            <w:pPr>
              <w:spacing w:after="0" w:line="240" w:lineRule="auto"/>
              <w:jc w:val="right"/>
              <w:rPr>
                <w:rFonts w:eastAsia="Times New Roman" w:cstheme="minorHAnsi"/>
                <w:color w:val="000000"/>
                <w:sz w:val="20"/>
                <w:szCs w:val="20"/>
                <w:lang w:eastAsia="cs-CZ"/>
              </w:rPr>
            </w:pPr>
            <w:r>
              <w:rPr>
                <w:rFonts w:eastAsia="Times New Roman" w:cstheme="minorHAnsi"/>
                <w:color w:val="000000"/>
                <w:sz w:val="20"/>
                <w:szCs w:val="20"/>
                <w:lang w:eastAsia="cs-CZ"/>
              </w:rPr>
              <w:t>0,6</w:t>
            </w:r>
            <w:r w:rsidR="009266C0">
              <w:rPr>
                <w:rFonts w:eastAsia="Times New Roman" w:cstheme="minorHAnsi"/>
                <w:color w:val="000000"/>
                <w:sz w:val="20"/>
                <w:szCs w:val="20"/>
                <w:lang w:eastAsia="cs-CZ"/>
              </w:rPr>
              <w:t>0</w:t>
            </w:r>
          </w:p>
        </w:tc>
      </w:tr>
      <w:tr w:rsidR="008154A4" w:rsidRPr="00383398" w14:paraId="705EAB46" w14:textId="2F65269B" w:rsidTr="007E4EC9">
        <w:trPr>
          <w:trHeight w:val="21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5313E86" w14:textId="77777777" w:rsidR="008154A4" w:rsidRPr="00383398" w:rsidRDefault="008154A4" w:rsidP="007A386D">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10 až 49</w:t>
            </w:r>
          </w:p>
        </w:tc>
        <w:tc>
          <w:tcPr>
            <w:tcW w:w="1039" w:type="dxa"/>
            <w:tcBorders>
              <w:top w:val="nil"/>
              <w:left w:val="nil"/>
              <w:bottom w:val="single" w:sz="4" w:space="0" w:color="auto"/>
              <w:right w:val="single" w:sz="4" w:space="0" w:color="auto"/>
            </w:tcBorders>
            <w:shd w:val="clear" w:color="auto" w:fill="auto"/>
            <w:noWrap/>
            <w:vAlign w:val="bottom"/>
            <w:hideMark/>
          </w:tcPr>
          <w:p w14:paraId="5D388CCB"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44 175</w:t>
            </w:r>
          </w:p>
        </w:tc>
        <w:tc>
          <w:tcPr>
            <w:tcW w:w="1040" w:type="dxa"/>
            <w:tcBorders>
              <w:top w:val="nil"/>
              <w:left w:val="nil"/>
              <w:bottom w:val="single" w:sz="4" w:space="0" w:color="auto"/>
              <w:right w:val="single" w:sz="4" w:space="0" w:color="auto"/>
            </w:tcBorders>
            <w:shd w:val="clear" w:color="auto" w:fill="auto"/>
            <w:noWrap/>
            <w:vAlign w:val="bottom"/>
            <w:hideMark/>
          </w:tcPr>
          <w:p w14:paraId="5D7E3A16"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44 330</w:t>
            </w:r>
          </w:p>
        </w:tc>
        <w:tc>
          <w:tcPr>
            <w:tcW w:w="1040" w:type="dxa"/>
            <w:tcBorders>
              <w:top w:val="nil"/>
              <w:left w:val="nil"/>
              <w:bottom w:val="single" w:sz="4" w:space="0" w:color="auto"/>
              <w:right w:val="single" w:sz="4" w:space="0" w:color="auto"/>
            </w:tcBorders>
            <w:shd w:val="clear" w:color="auto" w:fill="auto"/>
            <w:noWrap/>
            <w:vAlign w:val="bottom"/>
            <w:hideMark/>
          </w:tcPr>
          <w:p w14:paraId="4E873EE0"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0,35</w:t>
            </w:r>
          </w:p>
        </w:tc>
        <w:tc>
          <w:tcPr>
            <w:tcW w:w="1134" w:type="dxa"/>
            <w:tcBorders>
              <w:top w:val="nil"/>
              <w:left w:val="nil"/>
              <w:bottom w:val="single" w:sz="4" w:space="0" w:color="auto"/>
              <w:right w:val="single" w:sz="4" w:space="0" w:color="auto"/>
            </w:tcBorders>
            <w:shd w:val="clear" w:color="auto" w:fill="auto"/>
            <w:noWrap/>
            <w:vAlign w:val="bottom"/>
            <w:hideMark/>
          </w:tcPr>
          <w:p w14:paraId="3583EBE5"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5 338</w:t>
            </w:r>
          </w:p>
        </w:tc>
        <w:tc>
          <w:tcPr>
            <w:tcW w:w="1134" w:type="dxa"/>
            <w:tcBorders>
              <w:top w:val="nil"/>
              <w:left w:val="nil"/>
              <w:bottom w:val="single" w:sz="4" w:space="0" w:color="auto"/>
              <w:right w:val="single" w:sz="4" w:space="0" w:color="auto"/>
            </w:tcBorders>
            <w:shd w:val="clear" w:color="auto" w:fill="auto"/>
            <w:noWrap/>
            <w:vAlign w:val="bottom"/>
            <w:hideMark/>
          </w:tcPr>
          <w:p w14:paraId="20FD85D6"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5 420</w:t>
            </w:r>
          </w:p>
        </w:tc>
        <w:tc>
          <w:tcPr>
            <w:tcW w:w="1134" w:type="dxa"/>
            <w:tcBorders>
              <w:top w:val="nil"/>
              <w:left w:val="nil"/>
              <w:bottom w:val="single" w:sz="4" w:space="0" w:color="auto"/>
              <w:right w:val="single" w:sz="4" w:space="0" w:color="auto"/>
            </w:tcBorders>
            <w:shd w:val="clear" w:color="auto" w:fill="auto"/>
            <w:noWrap/>
            <w:vAlign w:val="bottom"/>
            <w:hideMark/>
          </w:tcPr>
          <w:p w14:paraId="39042DD2"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1,54</w:t>
            </w:r>
          </w:p>
        </w:tc>
        <w:tc>
          <w:tcPr>
            <w:tcW w:w="1842" w:type="dxa"/>
            <w:tcBorders>
              <w:top w:val="nil"/>
              <w:left w:val="nil"/>
              <w:bottom w:val="single" w:sz="4" w:space="0" w:color="auto"/>
              <w:right w:val="single" w:sz="4" w:space="0" w:color="auto"/>
            </w:tcBorders>
          </w:tcPr>
          <w:p w14:paraId="5686DFAD" w14:textId="45A2E339" w:rsidR="008154A4" w:rsidRPr="00383398" w:rsidRDefault="009266C0" w:rsidP="007A386D">
            <w:pPr>
              <w:spacing w:after="0" w:line="240" w:lineRule="auto"/>
              <w:jc w:val="right"/>
              <w:rPr>
                <w:rFonts w:eastAsia="Times New Roman" w:cstheme="minorHAnsi"/>
                <w:color w:val="000000"/>
                <w:sz w:val="20"/>
                <w:szCs w:val="20"/>
                <w:lang w:eastAsia="cs-CZ"/>
              </w:rPr>
            </w:pPr>
            <w:r>
              <w:rPr>
                <w:rFonts w:eastAsia="Times New Roman" w:cstheme="minorHAnsi"/>
                <w:color w:val="000000"/>
                <w:sz w:val="20"/>
                <w:szCs w:val="20"/>
                <w:lang w:eastAsia="cs-CZ"/>
              </w:rPr>
              <w:t>1,22</w:t>
            </w:r>
          </w:p>
        </w:tc>
      </w:tr>
      <w:tr w:rsidR="008154A4" w:rsidRPr="00383398" w14:paraId="70914AAD" w14:textId="0F3FC1BF" w:rsidTr="007E4EC9">
        <w:trPr>
          <w:trHeight w:val="21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ADDA266" w14:textId="77777777" w:rsidR="008154A4" w:rsidRPr="00383398" w:rsidRDefault="008154A4" w:rsidP="007A386D">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50 až 249</w:t>
            </w:r>
          </w:p>
        </w:tc>
        <w:tc>
          <w:tcPr>
            <w:tcW w:w="1039" w:type="dxa"/>
            <w:tcBorders>
              <w:top w:val="nil"/>
              <w:left w:val="nil"/>
              <w:bottom w:val="single" w:sz="4" w:space="0" w:color="auto"/>
              <w:right w:val="single" w:sz="4" w:space="0" w:color="auto"/>
            </w:tcBorders>
            <w:shd w:val="clear" w:color="auto" w:fill="auto"/>
            <w:noWrap/>
            <w:vAlign w:val="bottom"/>
            <w:hideMark/>
          </w:tcPr>
          <w:p w14:paraId="23AC1A91"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11 982</w:t>
            </w:r>
          </w:p>
        </w:tc>
        <w:tc>
          <w:tcPr>
            <w:tcW w:w="1040" w:type="dxa"/>
            <w:tcBorders>
              <w:top w:val="nil"/>
              <w:left w:val="nil"/>
              <w:bottom w:val="single" w:sz="4" w:space="0" w:color="auto"/>
              <w:right w:val="single" w:sz="4" w:space="0" w:color="auto"/>
            </w:tcBorders>
            <w:shd w:val="clear" w:color="auto" w:fill="auto"/>
            <w:noWrap/>
            <w:vAlign w:val="bottom"/>
            <w:hideMark/>
          </w:tcPr>
          <w:p w14:paraId="1C83FBBA"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12 123</w:t>
            </w:r>
          </w:p>
        </w:tc>
        <w:tc>
          <w:tcPr>
            <w:tcW w:w="1040" w:type="dxa"/>
            <w:tcBorders>
              <w:top w:val="nil"/>
              <w:left w:val="nil"/>
              <w:bottom w:val="single" w:sz="4" w:space="0" w:color="auto"/>
              <w:right w:val="single" w:sz="4" w:space="0" w:color="auto"/>
            </w:tcBorders>
            <w:shd w:val="clear" w:color="auto" w:fill="auto"/>
            <w:noWrap/>
            <w:vAlign w:val="bottom"/>
            <w:hideMark/>
          </w:tcPr>
          <w:p w14:paraId="0E5CDA40"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1,18</w:t>
            </w:r>
          </w:p>
        </w:tc>
        <w:tc>
          <w:tcPr>
            <w:tcW w:w="1134" w:type="dxa"/>
            <w:tcBorders>
              <w:top w:val="nil"/>
              <w:left w:val="nil"/>
              <w:bottom w:val="single" w:sz="4" w:space="0" w:color="auto"/>
              <w:right w:val="single" w:sz="4" w:space="0" w:color="auto"/>
            </w:tcBorders>
            <w:shd w:val="clear" w:color="auto" w:fill="auto"/>
            <w:noWrap/>
            <w:vAlign w:val="bottom"/>
            <w:hideMark/>
          </w:tcPr>
          <w:p w14:paraId="1B2D8E43"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3 514</w:t>
            </w:r>
          </w:p>
        </w:tc>
        <w:tc>
          <w:tcPr>
            <w:tcW w:w="1134" w:type="dxa"/>
            <w:tcBorders>
              <w:top w:val="nil"/>
              <w:left w:val="nil"/>
              <w:bottom w:val="single" w:sz="4" w:space="0" w:color="auto"/>
              <w:right w:val="single" w:sz="4" w:space="0" w:color="auto"/>
            </w:tcBorders>
            <w:shd w:val="clear" w:color="auto" w:fill="auto"/>
            <w:noWrap/>
            <w:vAlign w:val="bottom"/>
            <w:hideMark/>
          </w:tcPr>
          <w:p w14:paraId="3DB75EFB"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3 465</w:t>
            </w:r>
          </w:p>
        </w:tc>
        <w:tc>
          <w:tcPr>
            <w:tcW w:w="1134" w:type="dxa"/>
            <w:tcBorders>
              <w:top w:val="nil"/>
              <w:left w:val="nil"/>
              <w:bottom w:val="single" w:sz="4" w:space="0" w:color="auto"/>
              <w:right w:val="single" w:sz="4" w:space="0" w:color="auto"/>
            </w:tcBorders>
            <w:shd w:val="clear" w:color="auto" w:fill="auto"/>
            <w:noWrap/>
            <w:vAlign w:val="bottom"/>
            <w:hideMark/>
          </w:tcPr>
          <w:p w14:paraId="3EC39754"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-1,39</w:t>
            </w:r>
          </w:p>
        </w:tc>
        <w:tc>
          <w:tcPr>
            <w:tcW w:w="1842" w:type="dxa"/>
            <w:tcBorders>
              <w:top w:val="nil"/>
              <w:left w:val="nil"/>
              <w:bottom w:val="single" w:sz="4" w:space="0" w:color="auto"/>
              <w:right w:val="single" w:sz="4" w:space="0" w:color="auto"/>
            </w:tcBorders>
          </w:tcPr>
          <w:p w14:paraId="1BF88452" w14:textId="1C5485FE" w:rsidR="008154A4" w:rsidRPr="00383398" w:rsidRDefault="009266C0" w:rsidP="007A386D">
            <w:pPr>
              <w:spacing w:after="0" w:line="240" w:lineRule="auto"/>
              <w:jc w:val="right"/>
              <w:rPr>
                <w:rFonts w:eastAsia="Times New Roman" w:cstheme="minorHAnsi"/>
                <w:color w:val="000000"/>
                <w:sz w:val="20"/>
                <w:szCs w:val="20"/>
                <w:lang w:eastAsia="cs-CZ"/>
              </w:rPr>
            </w:pPr>
            <w:r>
              <w:rPr>
                <w:rFonts w:eastAsia="Times New Roman" w:cstheme="minorHAnsi"/>
                <w:color w:val="000000"/>
                <w:sz w:val="20"/>
                <w:szCs w:val="20"/>
                <w:lang w:eastAsia="cs-CZ"/>
              </w:rPr>
              <w:t>28,58</w:t>
            </w:r>
          </w:p>
        </w:tc>
      </w:tr>
      <w:tr w:rsidR="008154A4" w:rsidRPr="00383398" w14:paraId="28739CA1" w14:textId="27F8FFA7" w:rsidTr="007E4EC9">
        <w:trPr>
          <w:trHeight w:val="21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0EAD4E6" w14:textId="77777777" w:rsidR="008154A4" w:rsidRPr="00383398" w:rsidRDefault="008154A4" w:rsidP="007A386D">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nad 250</w:t>
            </w:r>
          </w:p>
        </w:tc>
        <w:tc>
          <w:tcPr>
            <w:tcW w:w="1039" w:type="dxa"/>
            <w:tcBorders>
              <w:top w:val="nil"/>
              <w:left w:val="nil"/>
              <w:bottom w:val="single" w:sz="4" w:space="0" w:color="auto"/>
              <w:right w:val="single" w:sz="4" w:space="0" w:color="auto"/>
            </w:tcBorders>
            <w:shd w:val="clear" w:color="auto" w:fill="auto"/>
            <w:noWrap/>
            <w:vAlign w:val="bottom"/>
            <w:hideMark/>
          </w:tcPr>
          <w:p w14:paraId="1BF62D62"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2 411</w:t>
            </w:r>
          </w:p>
        </w:tc>
        <w:tc>
          <w:tcPr>
            <w:tcW w:w="1040" w:type="dxa"/>
            <w:tcBorders>
              <w:top w:val="nil"/>
              <w:left w:val="nil"/>
              <w:bottom w:val="single" w:sz="4" w:space="0" w:color="auto"/>
              <w:right w:val="single" w:sz="4" w:space="0" w:color="auto"/>
            </w:tcBorders>
            <w:shd w:val="clear" w:color="auto" w:fill="auto"/>
            <w:noWrap/>
            <w:vAlign w:val="bottom"/>
            <w:hideMark/>
          </w:tcPr>
          <w:p w14:paraId="4E37DA6C"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2 401</w:t>
            </w:r>
          </w:p>
        </w:tc>
        <w:tc>
          <w:tcPr>
            <w:tcW w:w="1040" w:type="dxa"/>
            <w:tcBorders>
              <w:top w:val="nil"/>
              <w:left w:val="nil"/>
              <w:bottom w:val="single" w:sz="4" w:space="0" w:color="auto"/>
              <w:right w:val="single" w:sz="4" w:space="0" w:color="auto"/>
            </w:tcBorders>
            <w:shd w:val="clear" w:color="auto" w:fill="auto"/>
            <w:noWrap/>
            <w:vAlign w:val="bottom"/>
            <w:hideMark/>
          </w:tcPr>
          <w:p w14:paraId="4FC3488F"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-0,41</w:t>
            </w:r>
          </w:p>
        </w:tc>
        <w:tc>
          <w:tcPr>
            <w:tcW w:w="1134" w:type="dxa"/>
            <w:tcBorders>
              <w:top w:val="nil"/>
              <w:left w:val="nil"/>
              <w:bottom w:val="single" w:sz="4" w:space="0" w:color="auto"/>
              <w:right w:val="single" w:sz="4" w:space="0" w:color="auto"/>
            </w:tcBorders>
            <w:shd w:val="clear" w:color="auto" w:fill="auto"/>
            <w:noWrap/>
            <w:vAlign w:val="bottom"/>
            <w:hideMark/>
          </w:tcPr>
          <w:p w14:paraId="11C3824C"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1 211</w:t>
            </w:r>
          </w:p>
        </w:tc>
        <w:tc>
          <w:tcPr>
            <w:tcW w:w="1134" w:type="dxa"/>
            <w:tcBorders>
              <w:top w:val="nil"/>
              <w:left w:val="nil"/>
              <w:bottom w:val="single" w:sz="4" w:space="0" w:color="auto"/>
              <w:right w:val="single" w:sz="4" w:space="0" w:color="auto"/>
            </w:tcBorders>
            <w:shd w:val="clear" w:color="auto" w:fill="auto"/>
            <w:noWrap/>
            <w:vAlign w:val="bottom"/>
            <w:hideMark/>
          </w:tcPr>
          <w:p w14:paraId="146A6A1D"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1 186</w:t>
            </w:r>
          </w:p>
        </w:tc>
        <w:tc>
          <w:tcPr>
            <w:tcW w:w="1134" w:type="dxa"/>
            <w:tcBorders>
              <w:top w:val="nil"/>
              <w:left w:val="nil"/>
              <w:bottom w:val="single" w:sz="4" w:space="0" w:color="auto"/>
              <w:right w:val="single" w:sz="4" w:space="0" w:color="auto"/>
            </w:tcBorders>
            <w:shd w:val="clear" w:color="auto" w:fill="auto"/>
            <w:noWrap/>
            <w:vAlign w:val="bottom"/>
            <w:hideMark/>
          </w:tcPr>
          <w:p w14:paraId="51759F78"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-2,06</w:t>
            </w:r>
          </w:p>
        </w:tc>
        <w:tc>
          <w:tcPr>
            <w:tcW w:w="1842" w:type="dxa"/>
            <w:tcBorders>
              <w:top w:val="nil"/>
              <w:left w:val="nil"/>
              <w:bottom w:val="single" w:sz="4" w:space="0" w:color="auto"/>
              <w:right w:val="single" w:sz="4" w:space="0" w:color="auto"/>
            </w:tcBorders>
          </w:tcPr>
          <w:p w14:paraId="1674768C" w14:textId="5DE8A4FC" w:rsidR="008154A4" w:rsidRPr="00383398" w:rsidRDefault="009266C0" w:rsidP="007A386D">
            <w:pPr>
              <w:spacing w:after="0" w:line="240" w:lineRule="auto"/>
              <w:jc w:val="right"/>
              <w:rPr>
                <w:rFonts w:eastAsia="Times New Roman" w:cstheme="minorHAnsi"/>
                <w:color w:val="000000"/>
                <w:sz w:val="20"/>
                <w:szCs w:val="20"/>
                <w:lang w:eastAsia="cs-CZ"/>
              </w:rPr>
            </w:pPr>
            <w:r>
              <w:rPr>
                <w:rFonts w:eastAsia="Times New Roman" w:cstheme="minorHAnsi"/>
                <w:color w:val="000000"/>
                <w:sz w:val="20"/>
                <w:szCs w:val="20"/>
                <w:lang w:eastAsia="cs-CZ"/>
              </w:rPr>
              <w:t>49,40</w:t>
            </w:r>
          </w:p>
        </w:tc>
      </w:tr>
      <w:tr w:rsidR="008154A4" w:rsidRPr="00383398" w14:paraId="7D97F963" w14:textId="0CF49A46" w:rsidTr="007E4EC9">
        <w:trPr>
          <w:trHeight w:val="21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64CA4C0" w14:textId="77777777" w:rsidR="008154A4" w:rsidRPr="00383398" w:rsidRDefault="008154A4" w:rsidP="007A386D">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Neuvedeno</w:t>
            </w:r>
          </w:p>
        </w:tc>
        <w:tc>
          <w:tcPr>
            <w:tcW w:w="1039" w:type="dxa"/>
            <w:tcBorders>
              <w:top w:val="nil"/>
              <w:left w:val="nil"/>
              <w:bottom w:val="single" w:sz="4" w:space="0" w:color="auto"/>
              <w:right w:val="single" w:sz="4" w:space="0" w:color="auto"/>
            </w:tcBorders>
            <w:shd w:val="clear" w:color="auto" w:fill="auto"/>
            <w:noWrap/>
            <w:vAlign w:val="bottom"/>
            <w:hideMark/>
          </w:tcPr>
          <w:p w14:paraId="755958E6"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342 365</w:t>
            </w:r>
          </w:p>
        </w:tc>
        <w:tc>
          <w:tcPr>
            <w:tcW w:w="1040" w:type="dxa"/>
            <w:tcBorders>
              <w:top w:val="nil"/>
              <w:left w:val="nil"/>
              <w:bottom w:val="single" w:sz="4" w:space="0" w:color="auto"/>
              <w:right w:val="single" w:sz="4" w:space="0" w:color="auto"/>
            </w:tcBorders>
            <w:shd w:val="clear" w:color="auto" w:fill="auto"/>
            <w:noWrap/>
            <w:vAlign w:val="bottom"/>
            <w:hideMark/>
          </w:tcPr>
          <w:p w14:paraId="7FB47932"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358 596</w:t>
            </w:r>
          </w:p>
        </w:tc>
        <w:tc>
          <w:tcPr>
            <w:tcW w:w="1040" w:type="dxa"/>
            <w:tcBorders>
              <w:top w:val="nil"/>
              <w:left w:val="nil"/>
              <w:bottom w:val="single" w:sz="4" w:space="0" w:color="auto"/>
              <w:right w:val="single" w:sz="4" w:space="0" w:color="auto"/>
            </w:tcBorders>
            <w:shd w:val="clear" w:color="auto" w:fill="auto"/>
            <w:noWrap/>
            <w:vAlign w:val="bottom"/>
            <w:hideMark/>
          </w:tcPr>
          <w:p w14:paraId="499A66EE"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4,74</w:t>
            </w:r>
          </w:p>
        </w:tc>
        <w:tc>
          <w:tcPr>
            <w:tcW w:w="1134" w:type="dxa"/>
            <w:tcBorders>
              <w:top w:val="nil"/>
              <w:left w:val="nil"/>
              <w:bottom w:val="single" w:sz="4" w:space="0" w:color="auto"/>
              <w:right w:val="single" w:sz="4" w:space="0" w:color="auto"/>
            </w:tcBorders>
            <w:shd w:val="clear" w:color="auto" w:fill="auto"/>
            <w:noWrap/>
            <w:vAlign w:val="bottom"/>
            <w:hideMark/>
          </w:tcPr>
          <w:p w14:paraId="436B845D"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1 956</w:t>
            </w:r>
          </w:p>
        </w:tc>
        <w:tc>
          <w:tcPr>
            <w:tcW w:w="1134" w:type="dxa"/>
            <w:tcBorders>
              <w:top w:val="nil"/>
              <w:left w:val="nil"/>
              <w:bottom w:val="single" w:sz="4" w:space="0" w:color="auto"/>
              <w:right w:val="single" w:sz="4" w:space="0" w:color="auto"/>
            </w:tcBorders>
            <w:shd w:val="clear" w:color="auto" w:fill="auto"/>
            <w:noWrap/>
            <w:vAlign w:val="bottom"/>
            <w:hideMark/>
          </w:tcPr>
          <w:p w14:paraId="0EC1BDB4"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1 922</w:t>
            </w:r>
          </w:p>
        </w:tc>
        <w:tc>
          <w:tcPr>
            <w:tcW w:w="1134" w:type="dxa"/>
            <w:tcBorders>
              <w:top w:val="nil"/>
              <w:left w:val="nil"/>
              <w:bottom w:val="single" w:sz="4" w:space="0" w:color="auto"/>
              <w:right w:val="single" w:sz="4" w:space="0" w:color="auto"/>
            </w:tcBorders>
            <w:shd w:val="clear" w:color="auto" w:fill="auto"/>
            <w:noWrap/>
            <w:vAlign w:val="bottom"/>
            <w:hideMark/>
          </w:tcPr>
          <w:p w14:paraId="399754AB"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-1,74</w:t>
            </w:r>
          </w:p>
        </w:tc>
        <w:tc>
          <w:tcPr>
            <w:tcW w:w="1842" w:type="dxa"/>
            <w:tcBorders>
              <w:top w:val="nil"/>
              <w:left w:val="nil"/>
              <w:bottom w:val="single" w:sz="4" w:space="0" w:color="auto"/>
              <w:right w:val="single" w:sz="4" w:space="0" w:color="auto"/>
            </w:tcBorders>
          </w:tcPr>
          <w:p w14:paraId="1ECF38DD" w14:textId="410E338F" w:rsidR="008154A4" w:rsidRPr="00383398" w:rsidRDefault="009266C0" w:rsidP="007A386D">
            <w:pPr>
              <w:spacing w:after="0" w:line="240" w:lineRule="auto"/>
              <w:jc w:val="right"/>
              <w:rPr>
                <w:rFonts w:eastAsia="Times New Roman" w:cstheme="minorHAnsi"/>
                <w:color w:val="000000"/>
                <w:sz w:val="20"/>
                <w:szCs w:val="20"/>
                <w:lang w:eastAsia="cs-CZ"/>
              </w:rPr>
            </w:pPr>
            <w:r>
              <w:rPr>
                <w:rFonts w:eastAsia="Times New Roman" w:cstheme="minorHAnsi"/>
                <w:color w:val="000000"/>
                <w:sz w:val="20"/>
                <w:szCs w:val="20"/>
                <w:lang w:eastAsia="cs-CZ"/>
              </w:rPr>
              <w:t>-</w:t>
            </w:r>
          </w:p>
        </w:tc>
      </w:tr>
      <w:tr w:rsidR="008154A4" w:rsidRPr="00383398" w14:paraId="46EDDE67" w14:textId="0EC52A10" w:rsidTr="007E4EC9">
        <w:trPr>
          <w:trHeight w:val="21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A473FED" w14:textId="77777777" w:rsidR="008154A4" w:rsidRPr="00383398" w:rsidRDefault="008154A4" w:rsidP="007A386D">
            <w:pPr>
              <w:spacing w:after="0" w:line="240" w:lineRule="auto"/>
              <w:rPr>
                <w:rFonts w:eastAsia="Times New Roman" w:cstheme="minorHAnsi"/>
                <w:color w:val="000000"/>
                <w:sz w:val="20"/>
                <w:szCs w:val="20"/>
                <w:lang w:eastAsia="cs-CZ"/>
              </w:rPr>
            </w:pPr>
            <w:r w:rsidRPr="00383398">
              <w:rPr>
                <w:rFonts w:eastAsia="Times New Roman" w:cstheme="minorHAnsi"/>
                <w:color w:val="000000"/>
                <w:sz w:val="20"/>
                <w:szCs w:val="20"/>
                <w:lang w:eastAsia="cs-CZ"/>
              </w:rPr>
              <w:t>Celkem</w:t>
            </w:r>
          </w:p>
        </w:tc>
        <w:tc>
          <w:tcPr>
            <w:tcW w:w="1039" w:type="dxa"/>
            <w:tcBorders>
              <w:top w:val="nil"/>
              <w:left w:val="nil"/>
              <w:bottom w:val="single" w:sz="4" w:space="0" w:color="auto"/>
              <w:right w:val="single" w:sz="4" w:space="0" w:color="auto"/>
            </w:tcBorders>
            <w:shd w:val="clear" w:color="auto" w:fill="auto"/>
            <w:noWrap/>
            <w:vAlign w:val="bottom"/>
            <w:hideMark/>
          </w:tcPr>
          <w:p w14:paraId="2A6C55C5"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1 629 262</w:t>
            </w:r>
          </w:p>
        </w:tc>
        <w:tc>
          <w:tcPr>
            <w:tcW w:w="1040" w:type="dxa"/>
            <w:tcBorders>
              <w:top w:val="nil"/>
              <w:left w:val="nil"/>
              <w:bottom w:val="single" w:sz="4" w:space="0" w:color="auto"/>
              <w:right w:val="single" w:sz="4" w:space="0" w:color="auto"/>
            </w:tcBorders>
            <w:shd w:val="clear" w:color="auto" w:fill="auto"/>
            <w:noWrap/>
            <w:vAlign w:val="bottom"/>
            <w:hideMark/>
          </w:tcPr>
          <w:p w14:paraId="192324E9"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1 668 516</w:t>
            </w:r>
          </w:p>
        </w:tc>
        <w:tc>
          <w:tcPr>
            <w:tcW w:w="1040" w:type="dxa"/>
            <w:tcBorders>
              <w:top w:val="nil"/>
              <w:left w:val="nil"/>
              <w:bottom w:val="single" w:sz="4" w:space="0" w:color="auto"/>
              <w:right w:val="single" w:sz="4" w:space="0" w:color="auto"/>
            </w:tcBorders>
            <w:shd w:val="clear" w:color="auto" w:fill="auto"/>
            <w:noWrap/>
            <w:vAlign w:val="bottom"/>
            <w:hideMark/>
          </w:tcPr>
          <w:p w14:paraId="744BB6EA"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2,41</w:t>
            </w:r>
          </w:p>
        </w:tc>
        <w:tc>
          <w:tcPr>
            <w:tcW w:w="1134" w:type="dxa"/>
            <w:tcBorders>
              <w:top w:val="nil"/>
              <w:left w:val="nil"/>
              <w:bottom w:val="single" w:sz="4" w:space="0" w:color="auto"/>
              <w:right w:val="single" w:sz="4" w:space="0" w:color="auto"/>
            </w:tcBorders>
            <w:shd w:val="clear" w:color="auto" w:fill="auto"/>
            <w:noWrap/>
            <w:vAlign w:val="bottom"/>
            <w:hideMark/>
          </w:tcPr>
          <w:p w14:paraId="17B518A9"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21 404</w:t>
            </w:r>
          </w:p>
        </w:tc>
        <w:tc>
          <w:tcPr>
            <w:tcW w:w="1134" w:type="dxa"/>
            <w:tcBorders>
              <w:top w:val="nil"/>
              <w:left w:val="nil"/>
              <w:bottom w:val="single" w:sz="4" w:space="0" w:color="auto"/>
              <w:right w:val="single" w:sz="4" w:space="0" w:color="auto"/>
            </w:tcBorders>
            <w:shd w:val="clear" w:color="auto" w:fill="auto"/>
            <w:noWrap/>
            <w:vAlign w:val="bottom"/>
            <w:hideMark/>
          </w:tcPr>
          <w:p w14:paraId="197FC35E"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19 551</w:t>
            </w:r>
          </w:p>
        </w:tc>
        <w:tc>
          <w:tcPr>
            <w:tcW w:w="1134" w:type="dxa"/>
            <w:tcBorders>
              <w:top w:val="nil"/>
              <w:left w:val="nil"/>
              <w:bottom w:val="single" w:sz="4" w:space="0" w:color="auto"/>
              <w:right w:val="single" w:sz="4" w:space="0" w:color="auto"/>
            </w:tcBorders>
            <w:shd w:val="clear" w:color="auto" w:fill="auto"/>
            <w:noWrap/>
            <w:vAlign w:val="bottom"/>
            <w:hideMark/>
          </w:tcPr>
          <w:p w14:paraId="5576BAEC" w14:textId="77777777" w:rsidR="008154A4" w:rsidRPr="00383398" w:rsidRDefault="008154A4" w:rsidP="007A386D">
            <w:pPr>
              <w:spacing w:after="0" w:line="240" w:lineRule="auto"/>
              <w:jc w:val="right"/>
              <w:rPr>
                <w:rFonts w:eastAsia="Times New Roman" w:cstheme="minorHAnsi"/>
                <w:color w:val="000000"/>
                <w:sz w:val="20"/>
                <w:szCs w:val="20"/>
                <w:lang w:eastAsia="cs-CZ"/>
              </w:rPr>
            </w:pPr>
            <w:r w:rsidRPr="00383398">
              <w:rPr>
                <w:rFonts w:eastAsia="Times New Roman" w:cstheme="minorHAnsi"/>
                <w:color w:val="000000"/>
                <w:sz w:val="20"/>
                <w:szCs w:val="20"/>
                <w:lang w:eastAsia="cs-CZ"/>
              </w:rPr>
              <w:t>-8,66</w:t>
            </w:r>
          </w:p>
        </w:tc>
        <w:tc>
          <w:tcPr>
            <w:tcW w:w="1842" w:type="dxa"/>
            <w:tcBorders>
              <w:top w:val="nil"/>
              <w:left w:val="nil"/>
              <w:bottom w:val="single" w:sz="4" w:space="0" w:color="auto"/>
              <w:right w:val="single" w:sz="4" w:space="0" w:color="auto"/>
            </w:tcBorders>
          </w:tcPr>
          <w:p w14:paraId="3CEB6EFF" w14:textId="58E1DB39" w:rsidR="008154A4" w:rsidRPr="00383398" w:rsidRDefault="009266C0" w:rsidP="007A386D">
            <w:pPr>
              <w:spacing w:after="0" w:line="240" w:lineRule="auto"/>
              <w:jc w:val="right"/>
              <w:rPr>
                <w:rFonts w:eastAsia="Times New Roman" w:cstheme="minorHAnsi"/>
                <w:color w:val="000000"/>
                <w:sz w:val="20"/>
                <w:szCs w:val="20"/>
                <w:lang w:eastAsia="cs-CZ"/>
              </w:rPr>
            </w:pPr>
            <w:r>
              <w:rPr>
                <w:rFonts w:eastAsia="Times New Roman" w:cstheme="minorHAnsi"/>
                <w:color w:val="000000"/>
                <w:sz w:val="20"/>
                <w:szCs w:val="20"/>
                <w:lang w:eastAsia="cs-CZ"/>
              </w:rPr>
              <w:t>1,17</w:t>
            </w:r>
          </w:p>
        </w:tc>
      </w:tr>
    </w:tbl>
    <w:bookmarkEnd w:id="73"/>
    <w:p w14:paraId="2E79FA1F" w14:textId="74E6CB5C" w:rsidR="00C369A6" w:rsidRPr="00C301FC" w:rsidRDefault="00C369A6" w:rsidP="00C369A6">
      <w:pPr>
        <w:spacing w:after="0" w:line="240" w:lineRule="auto"/>
        <w:jc w:val="right"/>
        <w:rPr>
          <w:rFonts w:eastAsia="Times New Roman" w:cstheme="minorHAnsi"/>
          <w:i/>
          <w:iCs/>
          <w:color w:val="000000"/>
          <w:sz w:val="16"/>
          <w:szCs w:val="16"/>
          <w:lang w:eastAsia="cs-CZ"/>
        </w:rPr>
      </w:pPr>
      <w:r w:rsidRPr="00C301FC">
        <w:rPr>
          <w:rFonts w:eastAsia="Times New Roman" w:cstheme="minorHAnsi"/>
          <w:i/>
          <w:iCs/>
          <w:color w:val="000000"/>
          <w:sz w:val="16"/>
          <w:szCs w:val="16"/>
          <w:lang w:eastAsia="cs-CZ"/>
        </w:rPr>
        <w:t xml:space="preserve">                           </w:t>
      </w:r>
      <w:r>
        <w:rPr>
          <w:rFonts w:eastAsia="Times New Roman" w:cstheme="minorHAnsi"/>
          <w:i/>
          <w:iCs/>
          <w:color w:val="000000"/>
          <w:sz w:val="16"/>
          <w:szCs w:val="16"/>
          <w:lang w:eastAsia="cs-CZ"/>
        </w:rPr>
        <w:t xml:space="preserve">                  </w:t>
      </w:r>
      <w:r w:rsidRPr="00EA62E2">
        <w:rPr>
          <w:rFonts w:eastAsia="Times New Roman" w:cstheme="minorHAnsi"/>
          <w:i/>
          <w:iCs/>
          <w:color w:val="auto"/>
          <w:sz w:val="18"/>
          <w:szCs w:val="18"/>
          <w:lang w:eastAsia="cs-CZ"/>
        </w:rPr>
        <w:t>Zdroj ČSÚ (údaje bez dopočtů), tabulka a</w:t>
      </w:r>
      <w:r w:rsidR="000F25DC">
        <w:rPr>
          <w:rFonts w:eastAsia="Times New Roman" w:cstheme="minorHAnsi"/>
          <w:i/>
          <w:iCs/>
          <w:color w:val="auto"/>
          <w:sz w:val="18"/>
          <w:szCs w:val="18"/>
          <w:lang w:eastAsia="cs-CZ"/>
        </w:rPr>
        <w:t> </w:t>
      </w:r>
      <w:r w:rsidRPr="00EA62E2">
        <w:rPr>
          <w:rFonts w:eastAsia="Times New Roman" w:cstheme="minorHAnsi"/>
          <w:i/>
          <w:iCs/>
          <w:color w:val="auto"/>
          <w:sz w:val="18"/>
          <w:szCs w:val="18"/>
          <w:lang w:eastAsia="cs-CZ"/>
        </w:rPr>
        <w:t>výpočty MPO</w:t>
      </w:r>
    </w:p>
    <w:sectPr w:rsidR="00C369A6" w:rsidRPr="00C301FC" w:rsidSect="008A4043">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D3A53" w14:textId="77777777" w:rsidR="0042260B" w:rsidRDefault="0042260B" w:rsidP="007E4DF8">
      <w:pPr>
        <w:spacing w:after="0" w:line="240" w:lineRule="auto"/>
      </w:pPr>
      <w:r>
        <w:separator/>
      </w:r>
    </w:p>
  </w:endnote>
  <w:endnote w:type="continuationSeparator" w:id="0">
    <w:p w14:paraId="4EB4B8E8" w14:textId="77777777" w:rsidR="0042260B" w:rsidRDefault="0042260B" w:rsidP="007E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440948"/>
      <w:docPartObj>
        <w:docPartGallery w:val="Page Numbers (Bottom of Page)"/>
        <w:docPartUnique/>
      </w:docPartObj>
    </w:sdtPr>
    <w:sdtEndPr/>
    <w:sdtContent>
      <w:sdt>
        <w:sdtPr>
          <w:id w:val="1728636285"/>
          <w:docPartObj>
            <w:docPartGallery w:val="Page Numbers (Top of Page)"/>
            <w:docPartUnique/>
          </w:docPartObj>
        </w:sdtPr>
        <w:sdtEndPr/>
        <w:sdtContent>
          <w:p w14:paraId="205516B0" w14:textId="4BB53620" w:rsidR="008A4043" w:rsidRDefault="008A4043">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E70A5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0A5F">
              <w:rPr>
                <w:b/>
                <w:bCs/>
                <w:noProof/>
              </w:rPr>
              <w:t>10</w:t>
            </w:r>
            <w:r>
              <w:rPr>
                <w:b/>
                <w:bCs/>
                <w:sz w:val="24"/>
                <w:szCs w:val="24"/>
              </w:rPr>
              <w:fldChar w:fldCharType="end"/>
            </w:r>
          </w:p>
        </w:sdtContent>
      </w:sdt>
    </w:sdtContent>
  </w:sdt>
  <w:p w14:paraId="487FB4E5" w14:textId="77777777" w:rsidR="007E4DF8" w:rsidRDefault="007E4D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3EBF6" w14:textId="77777777" w:rsidR="0042260B" w:rsidRDefault="0042260B" w:rsidP="007E4DF8">
      <w:pPr>
        <w:spacing w:after="0" w:line="240" w:lineRule="auto"/>
      </w:pPr>
      <w:r>
        <w:separator/>
      </w:r>
    </w:p>
  </w:footnote>
  <w:footnote w:type="continuationSeparator" w:id="0">
    <w:p w14:paraId="293AE63B" w14:textId="77777777" w:rsidR="0042260B" w:rsidRDefault="0042260B" w:rsidP="007E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828"/>
    <w:multiLevelType w:val="multilevel"/>
    <w:tmpl w:val="556A4C20"/>
    <w:lvl w:ilvl="0">
      <w:start w:val="1"/>
      <w:numFmt w:val="decimal"/>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26B6C21"/>
    <w:multiLevelType w:val="hybridMultilevel"/>
    <w:tmpl w:val="E7A2D0E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3" w15:restartNumberingAfterBreak="0">
    <w:nsid w:val="08BD5E1B"/>
    <w:multiLevelType w:val="multilevel"/>
    <w:tmpl w:val="049C4F56"/>
    <w:lvl w:ilvl="0">
      <w:start w:val="1"/>
      <w:numFmt w:val="decimal"/>
      <w:lvlText w:val="%1."/>
      <w:lvlJc w:val="left"/>
      <w:pPr>
        <w:ind w:left="360" w:hanging="360"/>
      </w:pPr>
      <w:rPr>
        <w:rFonts w:hint="default"/>
      </w:rPr>
    </w:lvl>
    <w:lvl w:ilvl="1">
      <w:start w:val="1"/>
      <w:numFmt w:val="decimal"/>
      <w:pStyle w:val="Nadpis2"/>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EC252B"/>
    <w:multiLevelType w:val="hybridMultilevel"/>
    <w:tmpl w:val="4484FFCE"/>
    <w:lvl w:ilvl="0" w:tplc="434C46D2">
      <w:start w:val="1"/>
      <w:numFmt w:val="bullet"/>
      <w:lvlText w:val=""/>
      <w:lvlJc w:val="left"/>
      <w:pPr>
        <w:tabs>
          <w:tab w:val="num" w:pos="720"/>
        </w:tabs>
        <w:ind w:left="720" w:hanging="360"/>
      </w:pPr>
      <w:rPr>
        <w:rFonts w:ascii="Wingdings" w:hAnsi="Wingdings" w:hint="default"/>
      </w:rPr>
    </w:lvl>
    <w:lvl w:ilvl="1" w:tplc="55A4F012" w:tentative="1">
      <w:start w:val="1"/>
      <w:numFmt w:val="bullet"/>
      <w:lvlText w:val=""/>
      <w:lvlJc w:val="left"/>
      <w:pPr>
        <w:tabs>
          <w:tab w:val="num" w:pos="1440"/>
        </w:tabs>
        <w:ind w:left="1440" w:hanging="360"/>
      </w:pPr>
      <w:rPr>
        <w:rFonts w:ascii="Wingdings" w:hAnsi="Wingdings" w:hint="default"/>
      </w:rPr>
    </w:lvl>
    <w:lvl w:ilvl="2" w:tplc="6BBC7758" w:tentative="1">
      <w:start w:val="1"/>
      <w:numFmt w:val="bullet"/>
      <w:lvlText w:val=""/>
      <w:lvlJc w:val="left"/>
      <w:pPr>
        <w:tabs>
          <w:tab w:val="num" w:pos="2160"/>
        </w:tabs>
        <w:ind w:left="2160" w:hanging="360"/>
      </w:pPr>
      <w:rPr>
        <w:rFonts w:ascii="Wingdings" w:hAnsi="Wingdings" w:hint="default"/>
      </w:rPr>
    </w:lvl>
    <w:lvl w:ilvl="3" w:tplc="CE2E6B96" w:tentative="1">
      <w:start w:val="1"/>
      <w:numFmt w:val="bullet"/>
      <w:lvlText w:val=""/>
      <w:lvlJc w:val="left"/>
      <w:pPr>
        <w:tabs>
          <w:tab w:val="num" w:pos="2880"/>
        </w:tabs>
        <w:ind w:left="2880" w:hanging="360"/>
      </w:pPr>
      <w:rPr>
        <w:rFonts w:ascii="Wingdings" w:hAnsi="Wingdings" w:hint="default"/>
      </w:rPr>
    </w:lvl>
    <w:lvl w:ilvl="4" w:tplc="BC023630" w:tentative="1">
      <w:start w:val="1"/>
      <w:numFmt w:val="bullet"/>
      <w:lvlText w:val=""/>
      <w:lvlJc w:val="left"/>
      <w:pPr>
        <w:tabs>
          <w:tab w:val="num" w:pos="3600"/>
        </w:tabs>
        <w:ind w:left="3600" w:hanging="360"/>
      </w:pPr>
      <w:rPr>
        <w:rFonts w:ascii="Wingdings" w:hAnsi="Wingdings" w:hint="default"/>
      </w:rPr>
    </w:lvl>
    <w:lvl w:ilvl="5" w:tplc="22A44D1E" w:tentative="1">
      <w:start w:val="1"/>
      <w:numFmt w:val="bullet"/>
      <w:lvlText w:val=""/>
      <w:lvlJc w:val="left"/>
      <w:pPr>
        <w:tabs>
          <w:tab w:val="num" w:pos="4320"/>
        </w:tabs>
        <w:ind w:left="4320" w:hanging="360"/>
      </w:pPr>
      <w:rPr>
        <w:rFonts w:ascii="Wingdings" w:hAnsi="Wingdings" w:hint="default"/>
      </w:rPr>
    </w:lvl>
    <w:lvl w:ilvl="6" w:tplc="D24AFFDE" w:tentative="1">
      <w:start w:val="1"/>
      <w:numFmt w:val="bullet"/>
      <w:lvlText w:val=""/>
      <w:lvlJc w:val="left"/>
      <w:pPr>
        <w:tabs>
          <w:tab w:val="num" w:pos="5040"/>
        </w:tabs>
        <w:ind w:left="5040" w:hanging="360"/>
      </w:pPr>
      <w:rPr>
        <w:rFonts w:ascii="Wingdings" w:hAnsi="Wingdings" w:hint="default"/>
      </w:rPr>
    </w:lvl>
    <w:lvl w:ilvl="7" w:tplc="ADFC163E" w:tentative="1">
      <w:start w:val="1"/>
      <w:numFmt w:val="bullet"/>
      <w:lvlText w:val=""/>
      <w:lvlJc w:val="left"/>
      <w:pPr>
        <w:tabs>
          <w:tab w:val="num" w:pos="5760"/>
        </w:tabs>
        <w:ind w:left="5760" w:hanging="360"/>
      </w:pPr>
      <w:rPr>
        <w:rFonts w:ascii="Wingdings" w:hAnsi="Wingdings" w:hint="default"/>
      </w:rPr>
    </w:lvl>
    <w:lvl w:ilvl="8" w:tplc="9CB8CB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E3201"/>
    <w:multiLevelType w:val="hybridMultilevel"/>
    <w:tmpl w:val="E79E36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30316F8"/>
    <w:multiLevelType w:val="multilevel"/>
    <w:tmpl w:val="3320A8B2"/>
    <w:numStyleLink w:val="VariantaB-odrky"/>
  </w:abstractNum>
  <w:abstractNum w:abstractNumId="7"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8" w15:restartNumberingAfterBreak="0">
    <w:nsid w:val="191872DA"/>
    <w:multiLevelType w:val="multilevel"/>
    <w:tmpl w:val="E8A48D7C"/>
    <w:numStyleLink w:val="VariantaA-sla"/>
  </w:abstractNum>
  <w:abstractNum w:abstractNumId="9" w15:restartNumberingAfterBreak="0">
    <w:nsid w:val="1D241F57"/>
    <w:multiLevelType w:val="hybridMultilevel"/>
    <w:tmpl w:val="FA32FA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89A5EA2"/>
    <w:multiLevelType w:val="multilevel"/>
    <w:tmpl w:val="E8BAE50A"/>
    <w:numStyleLink w:val="VariantaA-odrky"/>
  </w:abstractNum>
  <w:abstractNum w:abstractNumId="11" w15:restartNumberingAfterBreak="0">
    <w:nsid w:val="330349C2"/>
    <w:multiLevelType w:val="hybridMultilevel"/>
    <w:tmpl w:val="FAFA0D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E8D6DE1"/>
    <w:multiLevelType w:val="hybridMultilevel"/>
    <w:tmpl w:val="2FB8F6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757FD7"/>
    <w:multiLevelType w:val="hybridMultilevel"/>
    <w:tmpl w:val="4C9E9D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7D7506"/>
    <w:multiLevelType w:val="hybridMultilevel"/>
    <w:tmpl w:val="8F264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6A3D84"/>
    <w:multiLevelType w:val="hybridMultilevel"/>
    <w:tmpl w:val="679C22CC"/>
    <w:lvl w:ilvl="0" w:tplc="4E9ADFDE">
      <w:start w:val="1"/>
      <w:numFmt w:val="bullet"/>
      <w:lvlText w:val=""/>
      <w:lvlJc w:val="left"/>
      <w:pPr>
        <w:tabs>
          <w:tab w:val="num" w:pos="720"/>
        </w:tabs>
        <w:ind w:left="720" w:hanging="360"/>
      </w:pPr>
      <w:rPr>
        <w:rFonts w:ascii="Symbol" w:hAnsi="Symbol" w:hint="default"/>
      </w:rPr>
    </w:lvl>
    <w:lvl w:ilvl="1" w:tplc="FFE825DE" w:tentative="1">
      <w:start w:val="1"/>
      <w:numFmt w:val="bullet"/>
      <w:lvlText w:val=""/>
      <w:lvlJc w:val="left"/>
      <w:pPr>
        <w:tabs>
          <w:tab w:val="num" w:pos="1440"/>
        </w:tabs>
        <w:ind w:left="1440" w:hanging="360"/>
      </w:pPr>
      <w:rPr>
        <w:rFonts w:ascii="Symbol" w:hAnsi="Symbol" w:hint="default"/>
      </w:rPr>
    </w:lvl>
    <w:lvl w:ilvl="2" w:tplc="2BDAA92E" w:tentative="1">
      <w:start w:val="1"/>
      <w:numFmt w:val="bullet"/>
      <w:lvlText w:val=""/>
      <w:lvlJc w:val="left"/>
      <w:pPr>
        <w:tabs>
          <w:tab w:val="num" w:pos="2160"/>
        </w:tabs>
        <w:ind w:left="2160" w:hanging="360"/>
      </w:pPr>
      <w:rPr>
        <w:rFonts w:ascii="Symbol" w:hAnsi="Symbol" w:hint="default"/>
      </w:rPr>
    </w:lvl>
    <w:lvl w:ilvl="3" w:tplc="C4F80B00" w:tentative="1">
      <w:start w:val="1"/>
      <w:numFmt w:val="bullet"/>
      <w:lvlText w:val=""/>
      <w:lvlJc w:val="left"/>
      <w:pPr>
        <w:tabs>
          <w:tab w:val="num" w:pos="2880"/>
        </w:tabs>
        <w:ind w:left="2880" w:hanging="360"/>
      </w:pPr>
      <w:rPr>
        <w:rFonts w:ascii="Symbol" w:hAnsi="Symbol" w:hint="default"/>
      </w:rPr>
    </w:lvl>
    <w:lvl w:ilvl="4" w:tplc="42E47EBE" w:tentative="1">
      <w:start w:val="1"/>
      <w:numFmt w:val="bullet"/>
      <w:lvlText w:val=""/>
      <w:lvlJc w:val="left"/>
      <w:pPr>
        <w:tabs>
          <w:tab w:val="num" w:pos="3600"/>
        </w:tabs>
        <w:ind w:left="3600" w:hanging="360"/>
      </w:pPr>
      <w:rPr>
        <w:rFonts w:ascii="Symbol" w:hAnsi="Symbol" w:hint="default"/>
      </w:rPr>
    </w:lvl>
    <w:lvl w:ilvl="5" w:tplc="BC1E5B64" w:tentative="1">
      <w:start w:val="1"/>
      <w:numFmt w:val="bullet"/>
      <w:lvlText w:val=""/>
      <w:lvlJc w:val="left"/>
      <w:pPr>
        <w:tabs>
          <w:tab w:val="num" w:pos="4320"/>
        </w:tabs>
        <w:ind w:left="4320" w:hanging="360"/>
      </w:pPr>
      <w:rPr>
        <w:rFonts w:ascii="Symbol" w:hAnsi="Symbol" w:hint="default"/>
      </w:rPr>
    </w:lvl>
    <w:lvl w:ilvl="6" w:tplc="77E60EC4" w:tentative="1">
      <w:start w:val="1"/>
      <w:numFmt w:val="bullet"/>
      <w:lvlText w:val=""/>
      <w:lvlJc w:val="left"/>
      <w:pPr>
        <w:tabs>
          <w:tab w:val="num" w:pos="5040"/>
        </w:tabs>
        <w:ind w:left="5040" w:hanging="360"/>
      </w:pPr>
      <w:rPr>
        <w:rFonts w:ascii="Symbol" w:hAnsi="Symbol" w:hint="default"/>
      </w:rPr>
    </w:lvl>
    <w:lvl w:ilvl="7" w:tplc="B4362EF0" w:tentative="1">
      <w:start w:val="1"/>
      <w:numFmt w:val="bullet"/>
      <w:lvlText w:val=""/>
      <w:lvlJc w:val="left"/>
      <w:pPr>
        <w:tabs>
          <w:tab w:val="num" w:pos="5760"/>
        </w:tabs>
        <w:ind w:left="5760" w:hanging="360"/>
      </w:pPr>
      <w:rPr>
        <w:rFonts w:ascii="Symbol" w:hAnsi="Symbol" w:hint="default"/>
      </w:rPr>
    </w:lvl>
    <w:lvl w:ilvl="8" w:tplc="2934F26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18" w15:restartNumberingAfterBreak="0">
    <w:nsid w:val="5AF35F43"/>
    <w:multiLevelType w:val="multilevel"/>
    <w:tmpl w:val="0D8ABE32"/>
    <w:numStyleLink w:val="VariantaB-sla"/>
  </w:abstractNum>
  <w:abstractNum w:abstractNumId="19" w15:restartNumberingAfterBreak="0">
    <w:nsid w:val="5D542257"/>
    <w:multiLevelType w:val="multilevel"/>
    <w:tmpl w:val="2A402B50"/>
    <w:lvl w:ilvl="0">
      <w:start w:val="1"/>
      <w:numFmt w:val="decimal"/>
      <w:pStyle w:val="Nadpis1"/>
      <w:lvlText w:val="%1."/>
      <w:lvlJc w:val="left"/>
      <w:pPr>
        <w:ind w:left="360" w:hanging="360"/>
      </w:pPr>
      <w:rPr>
        <w:rFonts w:hint="default"/>
      </w:rPr>
    </w:lvl>
    <w:lvl w:ilvl="1">
      <w:start w:val="1"/>
      <w:numFmt w:val="decimal"/>
      <w:lvlText w:val="%1.%2."/>
      <w:lvlJc w:val="left"/>
      <w:pPr>
        <w:ind w:left="792" w:hanging="432"/>
      </w:pPr>
      <w:rPr>
        <w:rFonts w:asciiTheme="majorHAnsi" w:hAnsiTheme="majorHAnsi" w:cstheme="majorHAnsi" w:hint="default"/>
        <w:i w:val="0"/>
        <w:iCs w:val="0"/>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0550A1"/>
    <w:multiLevelType w:val="hybridMultilevel"/>
    <w:tmpl w:val="F0DA73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3145475"/>
    <w:multiLevelType w:val="hybridMultilevel"/>
    <w:tmpl w:val="A8C038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5B92E7F"/>
    <w:multiLevelType w:val="hybridMultilevel"/>
    <w:tmpl w:val="0D62D6EE"/>
    <w:lvl w:ilvl="0" w:tplc="0666D67A">
      <w:start w:val="1"/>
      <w:numFmt w:val="bullet"/>
      <w:lvlText w:val=""/>
      <w:lvlJc w:val="left"/>
      <w:pPr>
        <w:tabs>
          <w:tab w:val="num" w:pos="720"/>
        </w:tabs>
        <w:ind w:left="720" w:hanging="360"/>
      </w:pPr>
      <w:rPr>
        <w:rFonts w:ascii="Symbol" w:hAnsi="Symbol" w:hint="default"/>
      </w:rPr>
    </w:lvl>
    <w:lvl w:ilvl="1" w:tplc="A454D2A0" w:tentative="1">
      <w:start w:val="1"/>
      <w:numFmt w:val="bullet"/>
      <w:lvlText w:val=""/>
      <w:lvlJc w:val="left"/>
      <w:pPr>
        <w:tabs>
          <w:tab w:val="num" w:pos="1440"/>
        </w:tabs>
        <w:ind w:left="1440" w:hanging="360"/>
      </w:pPr>
      <w:rPr>
        <w:rFonts w:ascii="Symbol" w:hAnsi="Symbol" w:hint="default"/>
      </w:rPr>
    </w:lvl>
    <w:lvl w:ilvl="2" w:tplc="C8E6D3BA" w:tentative="1">
      <w:start w:val="1"/>
      <w:numFmt w:val="bullet"/>
      <w:lvlText w:val=""/>
      <w:lvlJc w:val="left"/>
      <w:pPr>
        <w:tabs>
          <w:tab w:val="num" w:pos="2160"/>
        </w:tabs>
        <w:ind w:left="2160" w:hanging="360"/>
      </w:pPr>
      <w:rPr>
        <w:rFonts w:ascii="Symbol" w:hAnsi="Symbol" w:hint="default"/>
      </w:rPr>
    </w:lvl>
    <w:lvl w:ilvl="3" w:tplc="001A51FA" w:tentative="1">
      <w:start w:val="1"/>
      <w:numFmt w:val="bullet"/>
      <w:lvlText w:val=""/>
      <w:lvlJc w:val="left"/>
      <w:pPr>
        <w:tabs>
          <w:tab w:val="num" w:pos="2880"/>
        </w:tabs>
        <w:ind w:left="2880" w:hanging="360"/>
      </w:pPr>
      <w:rPr>
        <w:rFonts w:ascii="Symbol" w:hAnsi="Symbol" w:hint="default"/>
      </w:rPr>
    </w:lvl>
    <w:lvl w:ilvl="4" w:tplc="62A24E04" w:tentative="1">
      <w:start w:val="1"/>
      <w:numFmt w:val="bullet"/>
      <w:lvlText w:val=""/>
      <w:lvlJc w:val="left"/>
      <w:pPr>
        <w:tabs>
          <w:tab w:val="num" w:pos="3600"/>
        </w:tabs>
        <w:ind w:left="3600" w:hanging="360"/>
      </w:pPr>
      <w:rPr>
        <w:rFonts w:ascii="Symbol" w:hAnsi="Symbol" w:hint="default"/>
      </w:rPr>
    </w:lvl>
    <w:lvl w:ilvl="5" w:tplc="6F824828" w:tentative="1">
      <w:start w:val="1"/>
      <w:numFmt w:val="bullet"/>
      <w:lvlText w:val=""/>
      <w:lvlJc w:val="left"/>
      <w:pPr>
        <w:tabs>
          <w:tab w:val="num" w:pos="4320"/>
        </w:tabs>
        <w:ind w:left="4320" w:hanging="360"/>
      </w:pPr>
      <w:rPr>
        <w:rFonts w:ascii="Symbol" w:hAnsi="Symbol" w:hint="default"/>
      </w:rPr>
    </w:lvl>
    <w:lvl w:ilvl="6" w:tplc="B7F23F3A" w:tentative="1">
      <w:start w:val="1"/>
      <w:numFmt w:val="bullet"/>
      <w:lvlText w:val=""/>
      <w:lvlJc w:val="left"/>
      <w:pPr>
        <w:tabs>
          <w:tab w:val="num" w:pos="5040"/>
        </w:tabs>
        <w:ind w:left="5040" w:hanging="360"/>
      </w:pPr>
      <w:rPr>
        <w:rFonts w:ascii="Symbol" w:hAnsi="Symbol" w:hint="default"/>
      </w:rPr>
    </w:lvl>
    <w:lvl w:ilvl="7" w:tplc="FAE4A8DC" w:tentative="1">
      <w:start w:val="1"/>
      <w:numFmt w:val="bullet"/>
      <w:lvlText w:val=""/>
      <w:lvlJc w:val="left"/>
      <w:pPr>
        <w:tabs>
          <w:tab w:val="num" w:pos="5760"/>
        </w:tabs>
        <w:ind w:left="5760" w:hanging="360"/>
      </w:pPr>
      <w:rPr>
        <w:rFonts w:ascii="Symbol" w:hAnsi="Symbol" w:hint="default"/>
      </w:rPr>
    </w:lvl>
    <w:lvl w:ilvl="8" w:tplc="AB403EF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BD64578"/>
    <w:multiLevelType w:val="hybridMultilevel"/>
    <w:tmpl w:val="9C92F73A"/>
    <w:lvl w:ilvl="0" w:tplc="339424DE">
      <w:start w:val="1"/>
      <w:numFmt w:val="bullet"/>
      <w:lvlText w:val=""/>
      <w:lvlJc w:val="left"/>
      <w:pPr>
        <w:tabs>
          <w:tab w:val="num" w:pos="720"/>
        </w:tabs>
        <w:ind w:left="720" w:hanging="360"/>
      </w:pPr>
      <w:rPr>
        <w:rFonts w:ascii="Wingdings" w:hAnsi="Wingdings" w:hint="default"/>
      </w:rPr>
    </w:lvl>
    <w:lvl w:ilvl="1" w:tplc="CEB0E97C" w:tentative="1">
      <w:start w:val="1"/>
      <w:numFmt w:val="bullet"/>
      <w:lvlText w:val=""/>
      <w:lvlJc w:val="left"/>
      <w:pPr>
        <w:tabs>
          <w:tab w:val="num" w:pos="1440"/>
        </w:tabs>
        <w:ind w:left="1440" w:hanging="360"/>
      </w:pPr>
      <w:rPr>
        <w:rFonts w:ascii="Wingdings" w:hAnsi="Wingdings" w:hint="default"/>
      </w:rPr>
    </w:lvl>
    <w:lvl w:ilvl="2" w:tplc="C6148CB2" w:tentative="1">
      <w:start w:val="1"/>
      <w:numFmt w:val="bullet"/>
      <w:lvlText w:val=""/>
      <w:lvlJc w:val="left"/>
      <w:pPr>
        <w:tabs>
          <w:tab w:val="num" w:pos="2160"/>
        </w:tabs>
        <w:ind w:left="2160" w:hanging="360"/>
      </w:pPr>
      <w:rPr>
        <w:rFonts w:ascii="Wingdings" w:hAnsi="Wingdings" w:hint="default"/>
      </w:rPr>
    </w:lvl>
    <w:lvl w:ilvl="3" w:tplc="F05C8614" w:tentative="1">
      <w:start w:val="1"/>
      <w:numFmt w:val="bullet"/>
      <w:lvlText w:val=""/>
      <w:lvlJc w:val="left"/>
      <w:pPr>
        <w:tabs>
          <w:tab w:val="num" w:pos="2880"/>
        </w:tabs>
        <w:ind w:left="2880" w:hanging="360"/>
      </w:pPr>
      <w:rPr>
        <w:rFonts w:ascii="Wingdings" w:hAnsi="Wingdings" w:hint="default"/>
      </w:rPr>
    </w:lvl>
    <w:lvl w:ilvl="4" w:tplc="3D508568" w:tentative="1">
      <w:start w:val="1"/>
      <w:numFmt w:val="bullet"/>
      <w:lvlText w:val=""/>
      <w:lvlJc w:val="left"/>
      <w:pPr>
        <w:tabs>
          <w:tab w:val="num" w:pos="3600"/>
        </w:tabs>
        <w:ind w:left="3600" w:hanging="360"/>
      </w:pPr>
      <w:rPr>
        <w:rFonts w:ascii="Wingdings" w:hAnsi="Wingdings" w:hint="default"/>
      </w:rPr>
    </w:lvl>
    <w:lvl w:ilvl="5" w:tplc="6D827BCC" w:tentative="1">
      <w:start w:val="1"/>
      <w:numFmt w:val="bullet"/>
      <w:lvlText w:val=""/>
      <w:lvlJc w:val="left"/>
      <w:pPr>
        <w:tabs>
          <w:tab w:val="num" w:pos="4320"/>
        </w:tabs>
        <w:ind w:left="4320" w:hanging="360"/>
      </w:pPr>
      <w:rPr>
        <w:rFonts w:ascii="Wingdings" w:hAnsi="Wingdings" w:hint="default"/>
      </w:rPr>
    </w:lvl>
    <w:lvl w:ilvl="6" w:tplc="AF1439CE" w:tentative="1">
      <w:start w:val="1"/>
      <w:numFmt w:val="bullet"/>
      <w:lvlText w:val=""/>
      <w:lvlJc w:val="left"/>
      <w:pPr>
        <w:tabs>
          <w:tab w:val="num" w:pos="5040"/>
        </w:tabs>
        <w:ind w:left="5040" w:hanging="360"/>
      </w:pPr>
      <w:rPr>
        <w:rFonts w:ascii="Wingdings" w:hAnsi="Wingdings" w:hint="default"/>
      </w:rPr>
    </w:lvl>
    <w:lvl w:ilvl="7" w:tplc="010EE93E" w:tentative="1">
      <w:start w:val="1"/>
      <w:numFmt w:val="bullet"/>
      <w:lvlText w:val=""/>
      <w:lvlJc w:val="left"/>
      <w:pPr>
        <w:tabs>
          <w:tab w:val="num" w:pos="5760"/>
        </w:tabs>
        <w:ind w:left="5760" w:hanging="360"/>
      </w:pPr>
      <w:rPr>
        <w:rFonts w:ascii="Wingdings" w:hAnsi="Wingdings" w:hint="default"/>
      </w:rPr>
    </w:lvl>
    <w:lvl w:ilvl="8" w:tplc="8C9A87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790EFD"/>
    <w:multiLevelType w:val="hybridMultilevel"/>
    <w:tmpl w:val="8438B6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DBD1A05"/>
    <w:multiLevelType w:val="hybridMultilevel"/>
    <w:tmpl w:val="A9A0FF1C"/>
    <w:lvl w:ilvl="0" w:tplc="95DA4BA0">
      <w:start w:val="1"/>
      <w:numFmt w:val="bullet"/>
      <w:lvlText w:val=""/>
      <w:lvlJc w:val="left"/>
      <w:pPr>
        <w:tabs>
          <w:tab w:val="num" w:pos="720"/>
        </w:tabs>
        <w:ind w:left="720" w:hanging="360"/>
      </w:pPr>
      <w:rPr>
        <w:rFonts w:ascii="Wingdings" w:hAnsi="Wingdings" w:hint="default"/>
      </w:rPr>
    </w:lvl>
    <w:lvl w:ilvl="1" w:tplc="CFC69B32" w:tentative="1">
      <w:start w:val="1"/>
      <w:numFmt w:val="bullet"/>
      <w:lvlText w:val=""/>
      <w:lvlJc w:val="left"/>
      <w:pPr>
        <w:tabs>
          <w:tab w:val="num" w:pos="1440"/>
        </w:tabs>
        <w:ind w:left="1440" w:hanging="360"/>
      </w:pPr>
      <w:rPr>
        <w:rFonts w:ascii="Wingdings" w:hAnsi="Wingdings" w:hint="default"/>
      </w:rPr>
    </w:lvl>
    <w:lvl w:ilvl="2" w:tplc="45FAFEB4" w:tentative="1">
      <w:start w:val="1"/>
      <w:numFmt w:val="bullet"/>
      <w:lvlText w:val=""/>
      <w:lvlJc w:val="left"/>
      <w:pPr>
        <w:tabs>
          <w:tab w:val="num" w:pos="2160"/>
        </w:tabs>
        <w:ind w:left="2160" w:hanging="360"/>
      </w:pPr>
      <w:rPr>
        <w:rFonts w:ascii="Wingdings" w:hAnsi="Wingdings" w:hint="default"/>
      </w:rPr>
    </w:lvl>
    <w:lvl w:ilvl="3" w:tplc="FC3C3CD4" w:tentative="1">
      <w:start w:val="1"/>
      <w:numFmt w:val="bullet"/>
      <w:lvlText w:val=""/>
      <w:lvlJc w:val="left"/>
      <w:pPr>
        <w:tabs>
          <w:tab w:val="num" w:pos="2880"/>
        </w:tabs>
        <w:ind w:left="2880" w:hanging="360"/>
      </w:pPr>
      <w:rPr>
        <w:rFonts w:ascii="Wingdings" w:hAnsi="Wingdings" w:hint="default"/>
      </w:rPr>
    </w:lvl>
    <w:lvl w:ilvl="4" w:tplc="222A0F0E" w:tentative="1">
      <w:start w:val="1"/>
      <w:numFmt w:val="bullet"/>
      <w:lvlText w:val=""/>
      <w:lvlJc w:val="left"/>
      <w:pPr>
        <w:tabs>
          <w:tab w:val="num" w:pos="3600"/>
        </w:tabs>
        <w:ind w:left="3600" w:hanging="360"/>
      </w:pPr>
      <w:rPr>
        <w:rFonts w:ascii="Wingdings" w:hAnsi="Wingdings" w:hint="default"/>
      </w:rPr>
    </w:lvl>
    <w:lvl w:ilvl="5" w:tplc="F7ECA49A" w:tentative="1">
      <w:start w:val="1"/>
      <w:numFmt w:val="bullet"/>
      <w:lvlText w:val=""/>
      <w:lvlJc w:val="left"/>
      <w:pPr>
        <w:tabs>
          <w:tab w:val="num" w:pos="4320"/>
        </w:tabs>
        <w:ind w:left="4320" w:hanging="360"/>
      </w:pPr>
      <w:rPr>
        <w:rFonts w:ascii="Wingdings" w:hAnsi="Wingdings" w:hint="default"/>
      </w:rPr>
    </w:lvl>
    <w:lvl w:ilvl="6" w:tplc="2DA8CD0A" w:tentative="1">
      <w:start w:val="1"/>
      <w:numFmt w:val="bullet"/>
      <w:lvlText w:val=""/>
      <w:lvlJc w:val="left"/>
      <w:pPr>
        <w:tabs>
          <w:tab w:val="num" w:pos="5040"/>
        </w:tabs>
        <w:ind w:left="5040" w:hanging="360"/>
      </w:pPr>
      <w:rPr>
        <w:rFonts w:ascii="Wingdings" w:hAnsi="Wingdings" w:hint="default"/>
      </w:rPr>
    </w:lvl>
    <w:lvl w:ilvl="7" w:tplc="6F301936" w:tentative="1">
      <w:start w:val="1"/>
      <w:numFmt w:val="bullet"/>
      <w:lvlText w:val=""/>
      <w:lvlJc w:val="left"/>
      <w:pPr>
        <w:tabs>
          <w:tab w:val="num" w:pos="5760"/>
        </w:tabs>
        <w:ind w:left="5760" w:hanging="360"/>
      </w:pPr>
      <w:rPr>
        <w:rFonts w:ascii="Wingdings" w:hAnsi="Wingdings" w:hint="default"/>
      </w:rPr>
    </w:lvl>
    <w:lvl w:ilvl="8" w:tplc="7790716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20F5D"/>
    <w:multiLevelType w:val="hybridMultilevel"/>
    <w:tmpl w:val="478E89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17"/>
  </w:num>
  <w:num w:numId="3">
    <w:abstractNumId w:val="14"/>
  </w:num>
  <w:num w:numId="4">
    <w:abstractNumId w:val="2"/>
  </w:num>
  <w:num w:numId="5">
    <w:abstractNumId w:val="18"/>
  </w:num>
  <w:num w:numId="6">
    <w:abstractNumId w:val="10"/>
  </w:num>
  <w:num w:numId="7">
    <w:abstractNumId w:val="8"/>
  </w:num>
  <w:num w:numId="8">
    <w:abstractNumId w:val="6"/>
  </w:num>
  <w:num w:numId="9">
    <w:abstractNumId w:val="11"/>
  </w:num>
  <w:num w:numId="10">
    <w:abstractNumId w:val="4"/>
  </w:num>
  <w:num w:numId="11">
    <w:abstractNumId w:val="23"/>
  </w:num>
  <w:num w:numId="12">
    <w:abstractNumId w:val="16"/>
  </w:num>
  <w:num w:numId="13">
    <w:abstractNumId w:val="21"/>
  </w:num>
  <w:num w:numId="14">
    <w:abstractNumId w:val="12"/>
  </w:num>
  <w:num w:numId="15">
    <w:abstractNumId w:val="26"/>
  </w:num>
  <w:num w:numId="16">
    <w:abstractNumId w:val="5"/>
  </w:num>
  <w:num w:numId="17">
    <w:abstractNumId w:val="25"/>
  </w:num>
  <w:num w:numId="18">
    <w:abstractNumId w:val="22"/>
  </w:num>
  <w:num w:numId="19">
    <w:abstractNumId w:val="20"/>
  </w:num>
  <w:num w:numId="20">
    <w:abstractNumId w:val="15"/>
  </w:num>
  <w:num w:numId="21">
    <w:abstractNumId w:val="19"/>
  </w:num>
  <w:num w:numId="22">
    <w:abstractNumId w:val="0"/>
  </w:num>
  <w:num w:numId="23">
    <w:abstractNumId w:val="3"/>
  </w:num>
  <w:num w:numId="24">
    <w:abstractNumId w:val="24"/>
  </w:num>
  <w:num w:numId="25">
    <w:abstractNumId w:val="13"/>
  </w:num>
  <w:num w:numId="26">
    <w:abstractNumId w:val="9"/>
  </w:num>
  <w:num w:numId="27">
    <w:abstractNumId w:val="1"/>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E1"/>
    <w:rsid w:val="0000254D"/>
    <w:rsid w:val="00015A71"/>
    <w:rsid w:val="0002674B"/>
    <w:rsid w:val="000306D2"/>
    <w:rsid w:val="00032B9A"/>
    <w:rsid w:val="0004162E"/>
    <w:rsid w:val="00044212"/>
    <w:rsid w:val="00044BDA"/>
    <w:rsid w:val="0004786B"/>
    <w:rsid w:val="00063405"/>
    <w:rsid w:val="00064BDE"/>
    <w:rsid w:val="00066CB0"/>
    <w:rsid w:val="000742E8"/>
    <w:rsid w:val="00075901"/>
    <w:rsid w:val="000809B9"/>
    <w:rsid w:val="0008479E"/>
    <w:rsid w:val="00090B40"/>
    <w:rsid w:val="00095A0A"/>
    <w:rsid w:val="000961B8"/>
    <w:rsid w:val="00097171"/>
    <w:rsid w:val="000A2337"/>
    <w:rsid w:val="000B1B3D"/>
    <w:rsid w:val="000B4961"/>
    <w:rsid w:val="000C4CAF"/>
    <w:rsid w:val="000C6B57"/>
    <w:rsid w:val="000E397E"/>
    <w:rsid w:val="000F25DC"/>
    <w:rsid w:val="001060EC"/>
    <w:rsid w:val="00121485"/>
    <w:rsid w:val="00131895"/>
    <w:rsid w:val="00134CD1"/>
    <w:rsid w:val="001379F1"/>
    <w:rsid w:val="00143362"/>
    <w:rsid w:val="00144477"/>
    <w:rsid w:val="001446F4"/>
    <w:rsid w:val="00153508"/>
    <w:rsid w:val="0016059B"/>
    <w:rsid w:val="0017085E"/>
    <w:rsid w:val="00171C26"/>
    <w:rsid w:val="0018051B"/>
    <w:rsid w:val="00180B16"/>
    <w:rsid w:val="00186954"/>
    <w:rsid w:val="001A0284"/>
    <w:rsid w:val="001A2E96"/>
    <w:rsid w:val="001B12E5"/>
    <w:rsid w:val="001B1E4A"/>
    <w:rsid w:val="001B2DC2"/>
    <w:rsid w:val="001D27C0"/>
    <w:rsid w:val="001D311A"/>
    <w:rsid w:val="001D3458"/>
    <w:rsid w:val="001D61A3"/>
    <w:rsid w:val="001D6AFD"/>
    <w:rsid w:val="001E74C3"/>
    <w:rsid w:val="001E76DA"/>
    <w:rsid w:val="001F29B6"/>
    <w:rsid w:val="001F6937"/>
    <w:rsid w:val="00201457"/>
    <w:rsid w:val="00205904"/>
    <w:rsid w:val="00210E25"/>
    <w:rsid w:val="00214155"/>
    <w:rsid w:val="002206A1"/>
    <w:rsid w:val="00220DE3"/>
    <w:rsid w:val="00222A2F"/>
    <w:rsid w:val="00234412"/>
    <w:rsid w:val="00247967"/>
    <w:rsid w:val="0025290D"/>
    <w:rsid w:val="00255D79"/>
    <w:rsid w:val="00260372"/>
    <w:rsid w:val="00262DAF"/>
    <w:rsid w:val="00264B3F"/>
    <w:rsid w:val="00266667"/>
    <w:rsid w:val="002767A9"/>
    <w:rsid w:val="00292FA2"/>
    <w:rsid w:val="002A5DF6"/>
    <w:rsid w:val="002A6B7D"/>
    <w:rsid w:val="002C0623"/>
    <w:rsid w:val="002D4116"/>
    <w:rsid w:val="002E0D28"/>
    <w:rsid w:val="002E2442"/>
    <w:rsid w:val="002F0E8C"/>
    <w:rsid w:val="002F62F8"/>
    <w:rsid w:val="00310FA0"/>
    <w:rsid w:val="00320481"/>
    <w:rsid w:val="003246B8"/>
    <w:rsid w:val="003250CB"/>
    <w:rsid w:val="00333AAA"/>
    <w:rsid w:val="00355E38"/>
    <w:rsid w:val="00363201"/>
    <w:rsid w:val="00381B0C"/>
    <w:rsid w:val="00390290"/>
    <w:rsid w:val="0039063C"/>
    <w:rsid w:val="00392FD4"/>
    <w:rsid w:val="003A46A8"/>
    <w:rsid w:val="003B565A"/>
    <w:rsid w:val="003C1A91"/>
    <w:rsid w:val="003E4F32"/>
    <w:rsid w:val="003F406B"/>
    <w:rsid w:val="004006E5"/>
    <w:rsid w:val="00410326"/>
    <w:rsid w:val="0041427F"/>
    <w:rsid w:val="00415B71"/>
    <w:rsid w:val="0042246D"/>
    <w:rsid w:val="0042260B"/>
    <w:rsid w:val="00442900"/>
    <w:rsid w:val="004509E5"/>
    <w:rsid w:val="00457396"/>
    <w:rsid w:val="0046535B"/>
    <w:rsid w:val="00465C90"/>
    <w:rsid w:val="00477420"/>
    <w:rsid w:val="00485B75"/>
    <w:rsid w:val="00486FB9"/>
    <w:rsid w:val="00487957"/>
    <w:rsid w:val="004B73D9"/>
    <w:rsid w:val="004C212A"/>
    <w:rsid w:val="004D3ABD"/>
    <w:rsid w:val="004D6A2E"/>
    <w:rsid w:val="004F00D6"/>
    <w:rsid w:val="004F35EC"/>
    <w:rsid w:val="004F545F"/>
    <w:rsid w:val="00500232"/>
    <w:rsid w:val="005015B4"/>
    <w:rsid w:val="00501879"/>
    <w:rsid w:val="00504668"/>
    <w:rsid w:val="005067E1"/>
    <w:rsid w:val="00533A08"/>
    <w:rsid w:val="00536E94"/>
    <w:rsid w:val="00537CE1"/>
    <w:rsid w:val="00542BB8"/>
    <w:rsid w:val="00545322"/>
    <w:rsid w:val="005455E1"/>
    <w:rsid w:val="005502BD"/>
    <w:rsid w:val="00552793"/>
    <w:rsid w:val="00556787"/>
    <w:rsid w:val="0057568D"/>
    <w:rsid w:val="00581893"/>
    <w:rsid w:val="00584312"/>
    <w:rsid w:val="005C2560"/>
    <w:rsid w:val="005C2CF3"/>
    <w:rsid w:val="005C45B4"/>
    <w:rsid w:val="005F21D3"/>
    <w:rsid w:val="005F7585"/>
    <w:rsid w:val="00611D3F"/>
    <w:rsid w:val="00613593"/>
    <w:rsid w:val="00644E12"/>
    <w:rsid w:val="00650C6C"/>
    <w:rsid w:val="00652FE6"/>
    <w:rsid w:val="00661D97"/>
    <w:rsid w:val="0066263F"/>
    <w:rsid w:val="006674B5"/>
    <w:rsid w:val="006702B4"/>
    <w:rsid w:val="00670468"/>
    <w:rsid w:val="006726B8"/>
    <w:rsid w:val="0067647D"/>
    <w:rsid w:val="00677B25"/>
    <w:rsid w:val="006823FC"/>
    <w:rsid w:val="00685856"/>
    <w:rsid w:val="006A4AAC"/>
    <w:rsid w:val="006B3874"/>
    <w:rsid w:val="006B3FC3"/>
    <w:rsid w:val="006D04EF"/>
    <w:rsid w:val="006E12CF"/>
    <w:rsid w:val="006E2FB0"/>
    <w:rsid w:val="006E6000"/>
    <w:rsid w:val="007102D2"/>
    <w:rsid w:val="00713948"/>
    <w:rsid w:val="00720A08"/>
    <w:rsid w:val="00746805"/>
    <w:rsid w:val="00753A27"/>
    <w:rsid w:val="0075468B"/>
    <w:rsid w:val="0076445E"/>
    <w:rsid w:val="007717D6"/>
    <w:rsid w:val="00783D7D"/>
    <w:rsid w:val="00792DA6"/>
    <w:rsid w:val="0079342A"/>
    <w:rsid w:val="00796E13"/>
    <w:rsid w:val="007975FE"/>
    <w:rsid w:val="00797C79"/>
    <w:rsid w:val="00797F74"/>
    <w:rsid w:val="007B2595"/>
    <w:rsid w:val="007B4949"/>
    <w:rsid w:val="007E4DF8"/>
    <w:rsid w:val="007E4EC9"/>
    <w:rsid w:val="007E4F31"/>
    <w:rsid w:val="007F0BC6"/>
    <w:rsid w:val="008007E6"/>
    <w:rsid w:val="008050FC"/>
    <w:rsid w:val="008154A4"/>
    <w:rsid w:val="008222F5"/>
    <w:rsid w:val="00825480"/>
    <w:rsid w:val="00831374"/>
    <w:rsid w:val="00837EC3"/>
    <w:rsid w:val="00857580"/>
    <w:rsid w:val="008633E4"/>
    <w:rsid w:val="00865238"/>
    <w:rsid w:val="008667BF"/>
    <w:rsid w:val="008804E7"/>
    <w:rsid w:val="00895645"/>
    <w:rsid w:val="008958F2"/>
    <w:rsid w:val="008A4043"/>
    <w:rsid w:val="008A628E"/>
    <w:rsid w:val="008B65B6"/>
    <w:rsid w:val="008B6A64"/>
    <w:rsid w:val="008C3782"/>
    <w:rsid w:val="008D4A32"/>
    <w:rsid w:val="008D593A"/>
    <w:rsid w:val="008E44AA"/>
    <w:rsid w:val="008E7760"/>
    <w:rsid w:val="008F0939"/>
    <w:rsid w:val="009008D0"/>
    <w:rsid w:val="009134A5"/>
    <w:rsid w:val="00922001"/>
    <w:rsid w:val="00922C17"/>
    <w:rsid w:val="009266C0"/>
    <w:rsid w:val="009303FA"/>
    <w:rsid w:val="00930CAC"/>
    <w:rsid w:val="00940A21"/>
    <w:rsid w:val="00942DDD"/>
    <w:rsid w:val="009516A8"/>
    <w:rsid w:val="009668AF"/>
    <w:rsid w:val="0097705C"/>
    <w:rsid w:val="009853AA"/>
    <w:rsid w:val="009B25B8"/>
    <w:rsid w:val="009B3DB0"/>
    <w:rsid w:val="009B7BFD"/>
    <w:rsid w:val="009C1720"/>
    <w:rsid w:val="009D5B6B"/>
    <w:rsid w:val="009F393D"/>
    <w:rsid w:val="009F7F46"/>
    <w:rsid w:val="00A000BF"/>
    <w:rsid w:val="00A0587E"/>
    <w:rsid w:val="00A259A5"/>
    <w:rsid w:val="00A275BC"/>
    <w:rsid w:val="00A33591"/>
    <w:rsid w:val="00A464B4"/>
    <w:rsid w:val="00A50C2F"/>
    <w:rsid w:val="00A6135C"/>
    <w:rsid w:val="00A63D6B"/>
    <w:rsid w:val="00A707D4"/>
    <w:rsid w:val="00A717E3"/>
    <w:rsid w:val="00A743B7"/>
    <w:rsid w:val="00A74465"/>
    <w:rsid w:val="00A75394"/>
    <w:rsid w:val="00A84B52"/>
    <w:rsid w:val="00A8660F"/>
    <w:rsid w:val="00A90592"/>
    <w:rsid w:val="00A91590"/>
    <w:rsid w:val="00A95C48"/>
    <w:rsid w:val="00A96BC4"/>
    <w:rsid w:val="00AA0AA6"/>
    <w:rsid w:val="00AA3248"/>
    <w:rsid w:val="00AA5A9D"/>
    <w:rsid w:val="00AA7056"/>
    <w:rsid w:val="00AB31C6"/>
    <w:rsid w:val="00AB523B"/>
    <w:rsid w:val="00AC14EC"/>
    <w:rsid w:val="00AC3C0C"/>
    <w:rsid w:val="00AD7E40"/>
    <w:rsid w:val="00B051E3"/>
    <w:rsid w:val="00B1214F"/>
    <w:rsid w:val="00B12E9C"/>
    <w:rsid w:val="00B1352F"/>
    <w:rsid w:val="00B1477A"/>
    <w:rsid w:val="00B170CE"/>
    <w:rsid w:val="00B20993"/>
    <w:rsid w:val="00B245FE"/>
    <w:rsid w:val="00B24F73"/>
    <w:rsid w:val="00B42E96"/>
    <w:rsid w:val="00B46467"/>
    <w:rsid w:val="00B50EE6"/>
    <w:rsid w:val="00B52185"/>
    <w:rsid w:val="00B57EE0"/>
    <w:rsid w:val="00B606F4"/>
    <w:rsid w:val="00B620ED"/>
    <w:rsid w:val="00B65591"/>
    <w:rsid w:val="00B70B4F"/>
    <w:rsid w:val="00B82280"/>
    <w:rsid w:val="00B9753A"/>
    <w:rsid w:val="00BA48DD"/>
    <w:rsid w:val="00BA750F"/>
    <w:rsid w:val="00BB479C"/>
    <w:rsid w:val="00BB4CDB"/>
    <w:rsid w:val="00BC661D"/>
    <w:rsid w:val="00BD75A2"/>
    <w:rsid w:val="00BF5FAA"/>
    <w:rsid w:val="00C040A4"/>
    <w:rsid w:val="00C2017A"/>
    <w:rsid w:val="00C20470"/>
    <w:rsid w:val="00C252D9"/>
    <w:rsid w:val="00C33144"/>
    <w:rsid w:val="00C34B2F"/>
    <w:rsid w:val="00C369A6"/>
    <w:rsid w:val="00C4641B"/>
    <w:rsid w:val="00C47799"/>
    <w:rsid w:val="00C50733"/>
    <w:rsid w:val="00C5394A"/>
    <w:rsid w:val="00C55371"/>
    <w:rsid w:val="00C5685F"/>
    <w:rsid w:val="00C63291"/>
    <w:rsid w:val="00C6690E"/>
    <w:rsid w:val="00C70109"/>
    <w:rsid w:val="00C703C5"/>
    <w:rsid w:val="00C7602B"/>
    <w:rsid w:val="00C805F2"/>
    <w:rsid w:val="00C94123"/>
    <w:rsid w:val="00C947E3"/>
    <w:rsid w:val="00CC1688"/>
    <w:rsid w:val="00CC1A94"/>
    <w:rsid w:val="00CC2353"/>
    <w:rsid w:val="00CC5E40"/>
    <w:rsid w:val="00CC70BD"/>
    <w:rsid w:val="00CD4935"/>
    <w:rsid w:val="00CE6B6D"/>
    <w:rsid w:val="00CE6CC9"/>
    <w:rsid w:val="00D1569F"/>
    <w:rsid w:val="00D20B1E"/>
    <w:rsid w:val="00D22462"/>
    <w:rsid w:val="00D230AC"/>
    <w:rsid w:val="00D26AF1"/>
    <w:rsid w:val="00D31B3C"/>
    <w:rsid w:val="00D32489"/>
    <w:rsid w:val="00D37642"/>
    <w:rsid w:val="00D43870"/>
    <w:rsid w:val="00D45226"/>
    <w:rsid w:val="00D51BD0"/>
    <w:rsid w:val="00D73CB8"/>
    <w:rsid w:val="00D917E3"/>
    <w:rsid w:val="00D95BD4"/>
    <w:rsid w:val="00DA7591"/>
    <w:rsid w:val="00DD625F"/>
    <w:rsid w:val="00DE44D7"/>
    <w:rsid w:val="00E05E6D"/>
    <w:rsid w:val="00E32798"/>
    <w:rsid w:val="00E32DC7"/>
    <w:rsid w:val="00E51C91"/>
    <w:rsid w:val="00E54219"/>
    <w:rsid w:val="00E57F28"/>
    <w:rsid w:val="00E650F5"/>
    <w:rsid w:val="00E667C1"/>
    <w:rsid w:val="00E70A5F"/>
    <w:rsid w:val="00E76DF7"/>
    <w:rsid w:val="00E85BEC"/>
    <w:rsid w:val="00E87000"/>
    <w:rsid w:val="00EB0BC9"/>
    <w:rsid w:val="00EC03E7"/>
    <w:rsid w:val="00EC3F88"/>
    <w:rsid w:val="00ED1F56"/>
    <w:rsid w:val="00ED36D8"/>
    <w:rsid w:val="00EE3E59"/>
    <w:rsid w:val="00EE5EC4"/>
    <w:rsid w:val="00EE64CE"/>
    <w:rsid w:val="00EE6BD7"/>
    <w:rsid w:val="00F0689D"/>
    <w:rsid w:val="00F06E24"/>
    <w:rsid w:val="00F13BA3"/>
    <w:rsid w:val="00F15F0B"/>
    <w:rsid w:val="00F17B3E"/>
    <w:rsid w:val="00F26EFD"/>
    <w:rsid w:val="00F31D6C"/>
    <w:rsid w:val="00F445B5"/>
    <w:rsid w:val="00F50DAF"/>
    <w:rsid w:val="00F52492"/>
    <w:rsid w:val="00F764F1"/>
    <w:rsid w:val="00F76928"/>
    <w:rsid w:val="00F840F5"/>
    <w:rsid w:val="00F93216"/>
    <w:rsid w:val="00FA6482"/>
    <w:rsid w:val="00FB01B5"/>
    <w:rsid w:val="00FB29C7"/>
    <w:rsid w:val="00FC71C7"/>
    <w:rsid w:val="00FE6BA2"/>
    <w:rsid w:val="00FF4C9D"/>
    <w:rsid w:val="00FF6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07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5371"/>
    <w:pPr>
      <w:spacing w:after="160" w:line="293" w:lineRule="auto"/>
    </w:pPr>
    <w:rPr>
      <w:color w:val="000000" w:themeColor="text1"/>
    </w:rPr>
  </w:style>
  <w:style w:type="paragraph" w:styleId="Nadpis1">
    <w:name w:val="heading 1"/>
    <w:basedOn w:val="Normln"/>
    <w:next w:val="Normln"/>
    <w:link w:val="Nadpis1Char"/>
    <w:uiPriority w:val="7"/>
    <w:qFormat/>
    <w:rsid w:val="000A2337"/>
    <w:pPr>
      <w:keepNext/>
      <w:keepLines/>
      <w:numPr>
        <w:numId w:val="21"/>
      </w:numPr>
      <w:spacing w:before="160" w:after="0"/>
      <w:outlineLvl w:val="0"/>
    </w:pPr>
    <w:rPr>
      <w:rFonts w:asciiTheme="majorHAnsi" w:eastAsiaTheme="majorEastAsia" w:hAnsiTheme="majorHAnsi" w:cstheme="majorBidi"/>
      <w:b/>
      <w:color w:val="004B8D" w:themeColor="text2"/>
      <w:sz w:val="28"/>
      <w:szCs w:val="32"/>
    </w:rPr>
  </w:style>
  <w:style w:type="paragraph" w:styleId="Nadpis2">
    <w:name w:val="heading 2"/>
    <w:basedOn w:val="Normln"/>
    <w:next w:val="Normln"/>
    <w:link w:val="Nadpis2Char"/>
    <w:uiPriority w:val="7"/>
    <w:unhideWhenUsed/>
    <w:qFormat/>
    <w:rsid w:val="000A2337"/>
    <w:pPr>
      <w:keepNext/>
      <w:keepLines/>
      <w:numPr>
        <w:ilvl w:val="1"/>
        <w:numId w:val="23"/>
      </w:numPr>
      <w:spacing w:before="120" w:after="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after="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after="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after="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after="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after="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0A2337"/>
    <w:rPr>
      <w:rFonts w:asciiTheme="majorHAnsi" w:eastAsiaTheme="majorEastAsia" w:hAnsiTheme="majorHAnsi" w:cstheme="majorBidi"/>
      <w:b/>
      <w:color w:val="004B8D" w:themeColor="text2"/>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0A2337"/>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C55371"/>
    <w:pPr>
      <w:keepNext/>
      <w:keepLines/>
      <w:spacing w:after="0" w:line="240" w:lineRule="auto"/>
      <w:contextualSpacing/>
    </w:pPr>
    <w:rPr>
      <w:rFonts w:asciiTheme="majorHAnsi" w:eastAsiaTheme="majorEastAsia" w:hAnsiTheme="majorHAnsi" w:cstheme="majorBidi"/>
      <w:color w:val="004B8D" w:themeColor="text2"/>
      <w:spacing w:val="-10"/>
      <w:kern w:val="28"/>
      <w:sz w:val="48"/>
      <w:szCs w:val="56"/>
    </w:rPr>
  </w:style>
  <w:style w:type="character" w:customStyle="1" w:styleId="NzevChar">
    <w:name w:val="Název Char"/>
    <w:basedOn w:val="Standardnpsmoodstavce"/>
    <w:link w:val="Nzev"/>
    <w:uiPriority w:val="4"/>
    <w:rsid w:val="00C55371"/>
    <w:rPr>
      <w:rFonts w:asciiTheme="majorHAnsi" w:eastAsiaTheme="majorEastAsia" w:hAnsiTheme="majorHAnsi" w:cstheme="majorBidi"/>
      <w:color w:val="004B8D" w:themeColor="text2"/>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C55371"/>
    <w:pPr>
      <w:keepLines/>
      <w:pBdr>
        <w:top w:val="single" w:sz="4" w:space="10" w:color="004B8D" w:themeColor="accent2"/>
        <w:bottom w:val="single" w:sz="4" w:space="10" w:color="004B8D" w:themeColor="accent2"/>
      </w:pBdr>
      <w:spacing w:before="240" w:after="240"/>
      <w:ind w:left="357" w:right="357"/>
    </w:pPr>
    <w:rPr>
      <w:i/>
      <w:iCs/>
      <w:color w:val="004B8D" w:themeColor="text2"/>
    </w:rPr>
  </w:style>
  <w:style w:type="character" w:customStyle="1" w:styleId="VrazncittChar">
    <w:name w:val="Výrazný citát Char"/>
    <w:basedOn w:val="Standardnpsmoodstavce"/>
    <w:link w:val="Vrazncitt"/>
    <w:uiPriority w:val="28"/>
    <w:rsid w:val="00C55371"/>
    <w:rPr>
      <w:i/>
      <w:iCs/>
      <w:color w:val="004B8D" w:themeColor="text2"/>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after="0"/>
    </w:pPr>
  </w:style>
  <w:style w:type="paragraph" w:styleId="slovanseznam2">
    <w:name w:val="List Number 2"/>
    <w:aliases w:val="Číslovaný seznam A 2"/>
    <w:basedOn w:val="Normln"/>
    <w:uiPriority w:val="15"/>
    <w:qFormat/>
    <w:rsid w:val="001B1E4A"/>
    <w:pPr>
      <w:numPr>
        <w:ilvl w:val="1"/>
        <w:numId w:val="7"/>
      </w:numPr>
      <w:spacing w:after="0"/>
      <w:contextualSpacing/>
    </w:pPr>
  </w:style>
  <w:style w:type="paragraph" w:styleId="slovanseznam3">
    <w:name w:val="List Number 3"/>
    <w:aliases w:val="Číslovaný seznam A 3"/>
    <w:basedOn w:val="Normln"/>
    <w:uiPriority w:val="15"/>
    <w:qFormat/>
    <w:rsid w:val="001B1E4A"/>
    <w:pPr>
      <w:numPr>
        <w:ilvl w:val="2"/>
        <w:numId w:val="7"/>
      </w:numPr>
      <w:spacing w:after="0"/>
      <w:contextualSpacing/>
    </w:pPr>
  </w:style>
  <w:style w:type="paragraph" w:styleId="slovanseznam4">
    <w:name w:val="List Number 4"/>
    <w:aliases w:val="Číslovaný seznam A 4"/>
    <w:basedOn w:val="Normln"/>
    <w:uiPriority w:val="15"/>
    <w:qFormat/>
    <w:rsid w:val="001B1E4A"/>
    <w:pPr>
      <w:numPr>
        <w:ilvl w:val="3"/>
        <w:numId w:val="7"/>
      </w:numPr>
      <w:spacing w:after="0"/>
      <w:contextualSpacing/>
    </w:pPr>
  </w:style>
  <w:style w:type="paragraph" w:styleId="slovanseznam5">
    <w:name w:val="List Number 5"/>
    <w:aliases w:val="Číslovaný seznam A 5"/>
    <w:basedOn w:val="Normln"/>
    <w:uiPriority w:val="15"/>
    <w:qFormat/>
    <w:rsid w:val="001B1E4A"/>
    <w:pPr>
      <w:numPr>
        <w:ilvl w:val="4"/>
        <w:numId w:val="7"/>
      </w:numPr>
      <w:spacing w:after="0"/>
      <w:contextualSpacing/>
    </w:pPr>
  </w:style>
  <w:style w:type="paragraph" w:customStyle="1" w:styleId="slovanseznamB">
    <w:name w:val="Číslovaný seznam B"/>
    <w:basedOn w:val="Normln"/>
    <w:uiPriority w:val="16"/>
    <w:qFormat/>
    <w:rsid w:val="009F7F46"/>
    <w:pPr>
      <w:numPr>
        <w:numId w:val="5"/>
      </w:numPr>
      <w:spacing w:after="0"/>
    </w:pPr>
  </w:style>
  <w:style w:type="paragraph" w:customStyle="1" w:styleId="slovanseznamB2">
    <w:name w:val="Číslovaný seznam B 2"/>
    <w:basedOn w:val="Normln"/>
    <w:uiPriority w:val="16"/>
    <w:qFormat/>
    <w:rsid w:val="009F7F46"/>
    <w:pPr>
      <w:numPr>
        <w:ilvl w:val="1"/>
        <w:numId w:val="5"/>
      </w:numPr>
      <w:spacing w:after="0"/>
    </w:pPr>
  </w:style>
  <w:style w:type="paragraph" w:customStyle="1" w:styleId="slovanseznamB3">
    <w:name w:val="Číslovaný seznam B 3"/>
    <w:basedOn w:val="Normln"/>
    <w:uiPriority w:val="16"/>
    <w:qFormat/>
    <w:rsid w:val="009F7F46"/>
    <w:pPr>
      <w:numPr>
        <w:ilvl w:val="2"/>
        <w:numId w:val="5"/>
      </w:numPr>
      <w:spacing w:after="0"/>
    </w:pPr>
  </w:style>
  <w:style w:type="paragraph" w:customStyle="1" w:styleId="slovanseznamB4">
    <w:name w:val="Číslovaný seznam B 4"/>
    <w:basedOn w:val="Normln"/>
    <w:uiPriority w:val="16"/>
    <w:qFormat/>
    <w:rsid w:val="009F7F46"/>
    <w:pPr>
      <w:numPr>
        <w:ilvl w:val="3"/>
        <w:numId w:val="5"/>
      </w:numPr>
      <w:spacing w:after="0"/>
    </w:pPr>
  </w:style>
  <w:style w:type="paragraph" w:customStyle="1" w:styleId="slovanseznamB5">
    <w:name w:val="Číslovaný seznam B 5"/>
    <w:basedOn w:val="Normln"/>
    <w:uiPriority w:val="16"/>
    <w:qFormat/>
    <w:rsid w:val="009F7F46"/>
    <w:pPr>
      <w:numPr>
        <w:ilvl w:val="4"/>
        <w:numId w:val="5"/>
      </w:numPr>
      <w:spacing w:after="0"/>
    </w:pPr>
  </w:style>
  <w:style w:type="paragraph" w:styleId="Seznamsodrkami3">
    <w:name w:val="List Bullet 3"/>
    <w:aliases w:val="Seznam s odrážkami A 3"/>
    <w:basedOn w:val="Normln"/>
    <w:uiPriority w:val="10"/>
    <w:qFormat/>
    <w:rsid w:val="00262DAF"/>
    <w:pPr>
      <w:numPr>
        <w:ilvl w:val="2"/>
        <w:numId w:val="6"/>
      </w:numPr>
      <w:spacing w:after="0"/>
      <w:contextualSpacing/>
    </w:pPr>
  </w:style>
  <w:style w:type="paragraph" w:styleId="Seznamsodrkami4">
    <w:name w:val="List Bullet 4"/>
    <w:aliases w:val="Seznam s odrážkami A 4"/>
    <w:basedOn w:val="Normln"/>
    <w:uiPriority w:val="10"/>
    <w:qFormat/>
    <w:rsid w:val="00262DAF"/>
    <w:pPr>
      <w:numPr>
        <w:ilvl w:val="3"/>
        <w:numId w:val="6"/>
      </w:numPr>
      <w:spacing w:after="0"/>
      <w:contextualSpacing/>
    </w:pPr>
  </w:style>
  <w:style w:type="paragraph" w:styleId="Seznamsodrkami5">
    <w:name w:val="List Bullet 5"/>
    <w:aliases w:val="Seznam s odrážkami A 5"/>
    <w:basedOn w:val="Normln"/>
    <w:uiPriority w:val="10"/>
    <w:qFormat/>
    <w:rsid w:val="00262DAF"/>
    <w:pPr>
      <w:numPr>
        <w:ilvl w:val="4"/>
        <w:numId w:val="6"/>
      </w:numPr>
      <w:spacing w:after="0"/>
    </w:pPr>
  </w:style>
  <w:style w:type="paragraph" w:styleId="Seznamsodrkami">
    <w:name w:val="List Bullet"/>
    <w:aliases w:val="Seznam s odrážkami A"/>
    <w:basedOn w:val="Normln"/>
    <w:uiPriority w:val="10"/>
    <w:qFormat/>
    <w:rsid w:val="00262DAF"/>
    <w:pPr>
      <w:numPr>
        <w:numId w:val="6"/>
      </w:numPr>
      <w:spacing w:after="0"/>
      <w:contextualSpacing/>
    </w:pPr>
  </w:style>
  <w:style w:type="paragraph" w:styleId="Seznamsodrkami2">
    <w:name w:val="List Bullet 2"/>
    <w:aliases w:val="Seznam s odrážkami A 2"/>
    <w:basedOn w:val="Normln"/>
    <w:uiPriority w:val="10"/>
    <w:qFormat/>
    <w:rsid w:val="00262DAF"/>
    <w:pPr>
      <w:numPr>
        <w:ilvl w:val="1"/>
        <w:numId w:val="6"/>
      </w:numPr>
      <w:spacing w:after="0"/>
      <w:contextualSpacing/>
    </w:pPr>
  </w:style>
  <w:style w:type="paragraph" w:customStyle="1" w:styleId="Nadpis1-mimoobsah">
    <w:name w:val="Nadpis 1 - mimo obsah"/>
    <w:basedOn w:val="Normln"/>
    <w:next w:val="Normln"/>
    <w:uiPriority w:val="8"/>
    <w:qFormat/>
    <w:rsid w:val="00C55371"/>
    <w:pPr>
      <w:keepNext/>
      <w:keepLines/>
      <w:spacing w:before="160" w:after="0"/>
    </w:pPr>
    <w:rPr>
      <w:rFonts w:asciiTheme="majorHAnsi" w:hAnsiTheme="majorHAnsi"/>
      <w:b/>
      <w:color w:val="004B8D" w:themeColor="text2"/>
      <w:sz w:val="28"/>
    </w:rPr>
  </w:style>
  <w:style w:type="paragraph" w:customStyle="1" w:styleId="Nadpis2-mimoobsah">
    <w:name w:val="Nadpis 2 - mimo obsah"/>
    <w:basedOn w:val="Normln"/>
    <w:next w:val="Normln"/>
    <w:uiPriority w:val="8"/>
    <w:qFormat/>
    <w:rsid w:val="00AB523B"/>
    <w:pPr>
      <w:keepNext/>
      <w:keepLines/>
      <w:spacing w:before="80" w:after="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after="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after="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after="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after="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after="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after="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after="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aliases w:val="Text v bloku A"/>
    <w:basedOn w:val="Normln"/>
    <w:uiPriority w:val="29"/>
    <w:unhideWhenUsed/>
    <w:rsid w:val="00C55371"/>
    <w:pPr>
      <w:pBdr>
        <w:top w:val="single" w:sz="2" w:space="4" w:color="004B8D" w:themeColor="accent2"/>
        <w:left w:val="single" w:sz="2" w:space="8" w:color="004B8D" w:themeColor="accent2"/>
        <w:bottom w:val="single" w:sz="2" w:space="4" w:color="004B8D" w:themeColor="accent2"/>
        <w:right w:val="single" w:sz="2" w:space="8" w:color="004B8D" w:themeColor="accent2"/>
      </w:pBdr>
      <w:ind w:left="357" w:right="357"/>
    </w:pPr>
    <w:rPr>
      <w:rFonts w:eastAsiaTheme="minorEastAsia"/>
      <w:i/>
      <w:iCs/>
      <w:color w:val="004B8D" w:themeColor="accent2"/>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TextvblokuB">
    <w:name w:val="Text v bloku B"/>
    <w:basedOn w:val="Normln"/>
    <w:uiPriority w:val="29"/>
    <w:qFormat/>
    <w:rsid w:val="00C55371"/>
    <w:pPr>
      <w:pBdr>
        <w:top w:val="single" w:sz="2" w:space="4" w:color="004B8D" w:themeColor="accent2"/>
        <w:left w:val="single" w:sz="2" w:space="8" w:color="004B8D" w:themeColor="accent2"/>
        <w:bottom w:val="single" w:sz="2" w:space="4" w:color="004B8D" w:themeColor="accent2"/>
        <w:right w:val="single" w:sz="2" w:space="8" w:color="004B8D" w:themeColor="accent2"/>
      </w:pBdr>
      <w:shd w:val="clear" w:color="auto" w:fill="004B8D" w:themeFill="accent2"/>
      <w:ind w:left="357" w:right="357"/>
    </w:pPr>
    <w:rPr>
      <w:color w:val="FFFFFF" w:themeColor="background1"/>
    </w:rPr>
  </w:style>
  <w:style w:type="paragraph" w:customStyle="1" w:styleId="SeznamsodrkamiB">
    <w:name w:val="Seznam s odrážkami B"/>
    <w:basedOn w:val="Normln"/>
    <w:uiPriority w:val="11"/>
    <w:qFormat/>
    <w:rsid w:val="007102D2"/>
    <w:pPr>
      <w:numPr>
        <w:numId w:val="8"/>
      </w:numPr>
      <w:spacing w:after="0"/>
    </w:pPr>
  </w:style>
  <w:style w:type="paragraph" w:customStyle="1" w:styleId="SeznamsodrkamiB2">
    <w:name w:val="Seznam s odrážkami B 2"/>
    <w:basedOn w:val="Normln"/>
    <w:uiPriority w:val="11"/>
    <w:qFormat/>
    <w:rsid w:val="007102D2"/>
    <w:pPr>
      <w:numPr>
        <w:ilvl w:val="1"/>
        <w:numId w:val="8"/>
      </w:numPr>
      <w:spacing w:after="0"/>
    </w:pPr>
  </w:style>
  <w:style w:type="paragraph" w:customStyle="1" w:styleId="SeznamsodrkamiB3">
    <w:name w:val="Seznam s odrážkami B 3"/>
    <w:basedOn w:val="Normln"/>
    <w:uiPriority w:val="11"/>
    <w:qFormat/>
    <w:rsid w:val="007102D2"/>
    <w:pPr>
      <w:numPr>
        <w:ilvl w:val="2"/>
        <w:numId w:val="8"/>
      </w:numPr>
      <w:spacing w:after="0"/>
    </w:pPr>
  </w:style>
  <w:style w:type="paragraph" w:customStyle="1" w:styleId="SeznamsodrkamiB4">
    <w:name w:val="Seznam s odrážkami B 4"/>
    <w:basedOn w:val="Normln"/>
    <w:uiPriority w:val="11"/>
    <w:qFormat/>
    <w:rsid w:val="007102D2"/>
    <w:pPr>
      <w:numPr>
        <w:ilvl w:val="3"/>
        <w:numId w:val="8"/>
      </w:numPr>
      <w:spacing w:after="0"/>
    </w:pPr>
  </w:style>
  <w:style w:type="paragraph" w:customStyle="1" w:styleId="SeznamsodrkamiB5">
    <w:name w:val="Seznam s odrážkami B 5"/>
    <w:basedOn w:val="Normln"/>
    <w:uiPriority w:val="11"/>
    <w:qFormat/>
    <w:rsid w:val="007102D2"/>
    <w:pPr>
      <w:numPr>
        <w:ilvl w:val="4"/>
        <w:numId w:val="8"/>
      </w:numPr>
      <w:spacing w:after="0"/>
    </w:pPr>
  </w:style>
  <w:style w:type="paragraph" w:styleId="Zhlav">
    <w:name w:val="header"/>
    <w:basedOn w:val="Normln"/>
    <w:link w:val="ZhlavChar"/>
    <w:uiPriority w:val="99"/>
    <w:unhideWhenUsed/>
    <w:rsid w:val="007E4D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4DF8"/>
    <w:rPr>
      <w:color w:val="000000" w:themeColor="text1"/>
    </w:rPr>
  </w:style>
  <w:style w:type="paragraph" w:styleId="Zpat">
    <w:name w:val="footer"/>
    <w:basedOn w:val="Normln"/>
    <w:link w:val="ZpatChar"/>
    <w:uiPriority w:val="99"/>
    <w:unhideWhenUsed/>
    <w:rsid w:val="007E4DF8"/>
    <w:pPr>
      <w:tabs>
        <w:tab w:val="center" w:pos="4536"/>
        <w:tab w:val="right" w:pos="9072"/>
      </w:tabs>
      <w:spacing w:after="0" w:line="240" w:lineRule="auto"/>
    </w:pPr>
  </w:style>
  <w:style w:type="character" w:customStyle="1" w:styleId="ZpatChar">
    <w:name w:val="Zápatí Char"/>
    <w:basedOn w:val="Standardnpsmoodstavce"/>
    <w:link w:val="Zpat"/>
    <w:uiPriority w:val="99"/>
    <w:rsid w:val="007E4DF8"/>
    <w:rPr>
      <w:color w:val="000000" w:themeColor="text1"/>
    </w:rPr>
  </w:style>
  <w:style w:type="character" w:styleId="Znakapoznpodarou">
    <w:name w:val="footnote reference"/>
    <w:basedOn w:val="Standardnpsmoodstavce"/>
    <w:uiPriority w:val="99"/>
    <w:semiHidden/>
    <w:unhideWhenUsed/>
    <w:rsid w:val="00266667"/>
    <w:rPr>
      <w:vertAlign w:val="superscript"/>
    </w:rPr>
  </w:style>
  <w:style w:type="paragraph" w:styleId="Bezmezer">
    <w:name w:val="No Spacing"/>
    <w:link w:val="BezmezerChar"/>
    <w:uiPriority w:val="1"/>
    <w:qFormat/>
    <w:rsid w:val="00131895"/>
    <w:pPr>
      <w:spacing w:after="0" w:line="240" w:lineRule="auto"/>
    </w:pPr>
    <w:rPr>
      <w:color w:val="000000" w:themeColor="text1"/>
    </w:rPr>
  </w:style>
  <w:style w:type="character" w:styleId="Odkaznakoment">
    <w:name w:val="annotation reference"/>
    <w:basedOn w:val="Standardnpsmoodstavce"/>
    <w:uiPriority w:val="99"/>
    <w:semiHidden/>
    <w:unhideWhenUsed/>
    <w:rsid w:val="00131895"/>
    <w:rPr>
      <w:sz w:val="16"/>
      <w:szCs w:val="16"/>
    </w:rPr>
  </w:style>
  <w:style w:type="paragraph" w:styleId="Textkomente">
    <w:name w:val="annotation text"/>
    <w:basedOn w:val="Normln"/>
    <w:link w:val="TextkomenteChar"/>
    <w:uiPriority w:val="99"/>
    <w:unhideWhenUsed/>
    <w:rsid w:val="00131895"/>
    <w:pPr>
      <w:spacing w:line="240" w:lineRule="auto"/>
    </w:pPr>
    <w:rPr>
      <w:sz w:val="20"/>
      <w:szCs w:val="20"/>
    </w:rPr>
  </w:style>
  <w:style w:type="character" w:customStyle="1" w:styleId="TextkomenteChar">
    <w:name w:val="Text komentáře Char"/>
    <w:basedOn w:val="Standardnpsmoodstavce"/>
    <w:link w:val="Textkomente"/>
    <w:uiPriority w:val="99"/>
    <w:rsid w:val="00131895"/>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131895"/>
    <w:rPr>
      <w:b/>
      <w:bCs/>
    </w:rPr>
  </w:style>
  <w:style w:type="character" w:customStyle="1" w:styleId="PedmtkomenteChar">
    <w:name w:val="Předmět komentáře Char"/>
    <w:basedOn w:val="TextkomenteChar"/>
    <w:link w:val="Pedmtkomente"/>
    <w:uiPriority w:val="99"/>
    <w:semiHidden/>
    <w:rsid w:val="00131895"/>
    <w:rPr>
      <w:b/>
      <w:bCs/>
      <w:color w:val="000000" w:themeColor="text1"/>
      <w:sz w:val="20"/>
      <w:szCs w:val="20"/>
    </w:rPr>
  </w:style>
  <w:style w:type="table" w:styleId="Mkatabulky">
    <w:name w:val="Table Grid"/>
    <w:basedOn w:val="Normlntabulka"/>
    <w:uiPriority w:val="39"/>
    <w:rsid w:val="0017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8A628E"/>
    <w:pPr>
      <w:spacing w:before="100" w:beforeAutospacing="1" w:after="100" w:afterAutospacing="1" w:line="240" w:lineRule="auto"/>
    </w:pPr>
    <w:rPr>
      <w:rFonts w:ascii="Calibri" w:hAnsi="Calibri" w:cs="Calibri"/>
      <w:color w:val="auto"/>
      <w:lang w:eastAsia="cs-CZ"/>
    </w:rPr>
  </w:style>
  <w:style w:type="character" w:customStyle="1" w:styleId="BezmezerChar">
    <w:name w:val="Bez mezer Char"/>
    <w:basedOn w:val="Standardnpsmoodstavce"/>
    <w:link w:val="Bezmezer"/>
    <w:uiPriority w:val="1"/>
    <w:rsid w:val="00392FD4"/>
    <w:rPr>
      <w:color w:val="000000" w:themeColor="text1"/>
    </w:rPr>
  </w:style>
  <w:style w:type="paragraph" w:customStyle="1" w:styleId="Normlnodsazen">
    <w:name w:val="Normální_odsazený"/>
    <w:basedOn w:val="Normln"/>
    <w:qFormat/>
    <w:rsid w:val="003C1A91"/>
    <w:pPr>
      <w:spacing w:line="360" w:lineRule="auto"/>
      <w:ind w:firstLine="709"/>
    </w:pPr>
    <w:rPr>
      <w:rFonts w:eastAsia="Times New Roman" w:cs="Times New Roman"/>
      <w:color w:val="auto"/>
      <w:szCs w:val="24"/>
    </w:rPr>
  </w:style>
  <w:style w:type="paragraph" w:styleId="Revize">
    <w:name w:val="Revision"/>
    <w:hidden/>
    <w:uiPriority w:val="99"/>
    <w:semiHidden/>
    <w:rsid w:val="00F13BA3"/>
    <w:pPr>
      <w:spacing w:after="0" w:line="240" w:lineRule="auto"/>
    </w:pPr>
    <w:rPr>
      <w:color w:val="000000" w:themeColor="text1"/>
    </w:rPr>
  </w:style>
  <w:style w:type="paragraph" w:styleId="Textbubliny">
    <w:name w:val="Balloon Text"/>
    <w:basedOn w:val="Normln"/>
    <w:link w:val="TextbublinyChar"/>
    <w:uiPriority w:val="99"/>
    <w:semiHidden/>
    <w:unhideWhenUsed/>
    <w:rsid w:val="008E44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4AA"/>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55">
      <w:bodyDiv w:val="1"/>
      <w:marLeft w:val="0"/>
      <w:marRight w:val="0"/>
      <w:marTop w:val="0"/>
      <w:marBottom w:val="0"/>
      <w:divBdr>
        <w:top w:val="none" w:sz="0" w:space="0" w:color="auto"/>
        <w:left w:val="none" w:sz="0" w:space="0" w:color="auto"/>
        <w:bottom w:val="none" w:sz="0" w:space="0" w:color="auto"/>
        <w:right w:val="none" w:sz="0" w:space="0" w:color="auto"/>
      </w:divBdr>
    </w:div>
    <w:div w:id="28145756">
      <w:bodyDiv w:val="1"/>
      <w:marLeft w:val="0"/>
      <w:marRight w:val="0"/>
      <w:marTop w:val="0"/>
      <w:marBottom w:val="0"/>
      <w:divBdr>
        <w:top w:val="none" w:sz="0" w:space="0" w:color="auto"/>
        <w:left w:val="none" w:sz="0" w:space="0" w:color="auto"/>
        <w:bottom w:val="none" w:sz="0" w:space="0" w:color="auto"/>
        <w:right w:val="none" w:sz="0" w:space="0" w:color="auto"/>
      </w:divBdr>
    </w:div>
    <w:div w:id="80031929">
      <w:bodyDiv w:val="1"/>
      <w:marLeft w:val="0"/>
      <w:marRight w:val="0"/>
      <w:marTop w:val="0"/>
      <w:marBottom w:val="0"/>
      <w:divBdr>
        <w:top w:val="none" w:sz="0" w:space="0" w:color="auto"/>
        <w:left w:val="none" w:sz="0" w:space="0" w:color="auto"/>
        <w:bottom w:val="none" w:sz="0" w:space="0" w:color="auto"/>
        <w:right w:val="none" w:sz="0" w:space="0" w:color="auto"/>
      </w:divBdr>
    </w:div>
    <w:div w:id="272593624">
      <w:bodyDiv w:val="1"/>
      <w:marLeft w:val="0"/>
      <w:marRight w:val="0"/>
      <w:marTop w:val="0"/>
      <w:marBottom w:val="0"/>
      <w:divBdr>
        <w:top w:val="none" w:sz="0" w:space="0" w:color="auto"/>
        <w:left w:val="none" w:sz="0" w:space="0" w:color="auto"/>
        <w:bottom w:val="none" w:sz="0" w:space="0" w:color="auto"/>
        <w:right w:val="none" w:sz="0" w:space="0" w:color="auto"/>
      </w:divBdr>
    </w:div>
    <w:div w:id="275529775">
      <w:bodyDiv w:val="1"/>
      <w:marLeft w:val="0"/>
      <w:marRight w:val="0"/>
      <w:marTop w:val="0"/>
      <w:marBottom w:val="0"/>
      <w:divBdr>
        <w:top w:val="none" w:sz="0" w:space="0" w:color="auto"/>
        <w:left w:val="none" w:sz="0" w:space="0" w:color="auto"/>
        <w:bottom w:val="none" w:sz="0" w:space="0" w:color="auto"/>
        <w:right w:val="none" w:sz="0" w:space="0" w:color="auto"/>
      </w:divBdr>
    </w:div>
    <w:div w:id="340665805">
      <w:bodyDiv w:val="1"/>
      <w:marLeft w:val="0"/>
      <w:marRight w:val="0"/>
      <w:marTop w:val="0"/>
      <w:marBottom w:val="0"/>
      <w:divBdr>
        <w:top w:val="none" w:sz="0" w:space="0" w:color="auto"/>
        <w:left w:val="none" w:sz="0" w:space="0" w:color="auto"/>
        <w:bottom w:val="none" w:sz="0" w:space="0" w:color="auto"/>
        <w:right w:val="none" w:sz="0" w:space="0" w:color="auto"/>
      </w:divBdr>
    </w:div>
    <w:div w:id="428544465">
      <w:bodyDiv w:val="1"/>
      <w:marLeft w:val="0"/>
      <w:marRight w:val="0"/>
      <w:marTop w:val="0"/>
      <w:marBottom w:val="0"/>
      <w:divBdr>
        <w:top w:val="none" w:sz="0" w:space="0" w:color="auto"/>
        <w:left w:val="none" w:sz="0" w:space="0" w:color="auto"/>
        <w:bottom w:val="none" w:sz="0" w:space="0" w:color="auto"/>
        <w:right w:val="none" w:sz="0" w:space="0" w:color="auto"/>
      </w:divBdr>
    </w:div>
    <w:div w:id="589236292">
      <w:bodyDiv w:val="1"/>
      <w:marLeft w:val="0"/>
      <w:marRight w:val="0"/>
      <w:marTop w:val="0"/>
      <w:marBottom w:val="0"/>
      <w:divBdr>
        <w:top w:val="none" w:sz="0" w:space="0" w:color="auto"/>
        <w:left w:val="none" w:sz="0" w:space="0" w:color="auto"/>
        <w:bottom w:val="none" w:sz="0" w:space="0" w:color="auto"/>
        <w:right w:val="none" w:sz="0" w:space="0" w:color="auto"/>
      </w:divBdr>
    </w:div>
    <w:div w:id="632252556">
      <w:bodyDiv w:val="1"/>
      <w:marLeft w:val="0"/>
      <w:marRight w:val="0"/>
      <w:marTop w:val="0"/>
      <w:marBottom w:val="0"/>
      <w:divBdr>
        <w:top w:val="none" w:sz="0" w:space="0" w:color="auto"/>
        <w:left w:val="none" w:sz="0" w:space="0" w:color="auto"/>
        <w:bottom w:val="none" w:sz="0" w:space="0" w:color="auto"/>
        <w:right w:val="none" w:sz="0" w:space="0" w:color="auto"/>
      </w:divBdr>
    </w:div>
    <w:div w:id="697510329">
      <w:bodyDiv w:val="1"/>
      <w:marLeft w:val="0"/>
      <w:marRight w:val="0"/>
      <w:marTop w:val="0"/>
      <w:marBottom w:val="0"/>
      <w:divBdr>
        <w:top w:val="none" w:sz="0" w:space="0" w:color="auto"/>
        <w:left w:val="none" w:sz="0" w:space="0" w:color="auto"/>
        <w:bottom w:val="none" w:sz="0" w:space="0" w:color="auto"/>
        <w:right w:val="none" w:sz="0" w:space="0" w:color="auto"/>
      </w:divBdr>
    </w:div>
    <w:div w:id="724336304">
      <w:bodyDiv w:val="1"/>
      <w:marLeft w:val="0"/>
      <w:marRight w:val="0"/>
      <w:marTop w:val="0"/>
      <w:marBottom w:val="0"/>
      <w:divBdr>
        <w:top w:val="none" w:sz="0" w:space="0" w:color="auto"/>
        <w:left w:val="none" w:sz="0" w:space="0" w:color="auto"/>
        <w:bottom w:val="none" w:sz="0" w:space="0" w:color="auto"/>
        <w:right w:val="none" w:sz="0" w:space="0" w:color="auto"/>
      </w:divBdr>
    </w:div>
    <w:div w:id="975723059">
      <w:bodyDiv w:val="1"/>
      <w:marLeft w:val="0"/>
      <w:marRight w:val="0"/>
      <w:marTop w:val="0"/>
      <w:marBottom w:val="0"/>
      <w:divBdr>
        <w:top w:val="none" w:sz="0" w:space="0" w:color="auto"/>
        <w:left w:val="none" w:sz="0" w:space="0" w:color="auto"/>
        <w:bottom w:val="none" w:sz="0" w:space="0" w:color="auto"/>
        <w:right w:val="none" w:sz="0" w:space="0" w:color="auto"/>
      </w:divBdr>
    </w:div>
    <w:div w:id="1026521141">
      <w:bodyDiv w:val="1"/>
      <w:marLeft w:val="0"/>
      <w:marRight w:val="0"/>
      <w:marTop w:val="0"/>
      <w:marBottom w:val="0"/>
      <w:divBdr>
        <w:top w:val="none" w:sz="0" w:space="0" w:color="auto"/>
        <w:left w:val="none" w:sz="0" w:space="0" w:color="auto"/>
        <w:bottom w:val="none" w:sz="0" w:space="0" w:color="auto"/>
        <w:right w:val="none" w:sz="0" w:space="0" w:color="auto"/>
      </w:divBdr>
    </w:div>
    <w:div w:id="1047874482">
      <w:bodyDiv w:val="1"/>
      <w:marLeft w:val="0"/>
      <w:marRight w:val="0"/>
      <w:marTop w:val="0"/>
      <w:marBottom w:val="0"/>
      <w:divBdr>
        <w:top w:val="none" w:sz="0" w:space="0" w:color="auto"/>
        <w:left w:val="none" w:sz="0" w:space="0" w:color="auto"/>
        <w:bottom w:val="none" w:sz="0" w:space="0" w:color="auto"/>
        <w:right w:val="none" w:sz="0" w:space="0" w:color="auto"/>
      </w:divBdr>
      <w:divsChild>
        <w:div w:id="1382291410">
          <w:marLeft w:val="547"/>
          <w:marRight w:val="0"/>
          <w:marTop w:val="0"/>
          <w:marBottom w:val="0"/>
          <w:divBdr>
            <w:top w:val="none" w:sz="0" w:space="0" w:color="auto"/>
            <w:left w:val="none" w:sz="0" w:space="0" w:color="auto"/>
            <w:bottom w:val="none" w:sz="0" w:space="0" w:color="auto"/>
            <w:right w:val="none" w:sz="0" w:space="0" w:color="auto"/>
          </w:divBdr>
        </w:div>
        <w:div w:id="1937445469">
          <w:marLeft w:val="547"/>
          <w:marRight w:val="0"/>
          <w:marTop w:val="0"/>
          <w:marBottom w:val="0"/>
          <w:divBdr>
            <w:top w:val="none" w:sz="0" w:space="0" w:color="auto"/>
            <w:left w:val="none" w:sz="0" w:space="0" w:color="auto"/>
            <w:bottom w:val="none" w:sz="0" w:space="0" w:color="auto"/>
            <w:right w:val="none" w:sz="0" w:space="0" w:color="auto"/>
          </w:divBdr>
        </w:div>
        <w:div w:id="213931006">
          <w:marLeft w:val="547"/>
          <w:marRight w:val="0"/>
          <w:marTop w:val="0"/>
          <w:marBottom w:val="0"/>
          <w:divBdr>
            <w:top w:val="none" w:sz="0" w:space="0" w:color="auto"/>
            <w:left w:val="none" w:sz="0" w:space="0" w:color="auto"/>
            <w:bottom w:val="none" w:sz="0" w:space="0" w:color="auto"/>
            <w:right w:val="none" w:sz="0" w:space="0" w:color="auto"/>
          </w:divBdr>
        </w:div>
        <w:div w:id="1796362636">
          <w:marLeft w:val="547"/>
          <w:marRight w:val="0"/>
          <w:marTop w:val="0"/>
          <w:marBottom w:val="0"/>
          <w:divBdr>
            <w:top w:val="none" w:sz="0" w:space="0" w:color="auto"/>
            <w:left w:val="none" w:sz="0" w:space="0" w:color="auto"/>
            <w:bottom w:val="none" w:sz="0" w:space="0" w:color="auto"/>
            <w:right w:val="none" w:sz="0" w:space="0" w:color="auto"/>
          </w:divBdr>
        </w:div>
        <w:div w:id="1799451357">
          <w:marLeft w:val="547"/>
          <w:marRight w:val="0"/>
          <w:marTop w:val="0"/>
          <w:marBottom w:val="0"/>
          <w:divBdr>
            <w:top w:val="none" w:sz="0" w:space="0" w:color="auto"/>
            <w:left w:val="none" w:sz="0" w:space="0" w:color="auto"/>
            <w:bottom w:val="none" w:sz="0" w:space="0" w:color="auto"/>
            <w:right w:val="none" w:sz="0" w:space="0" w:color="auto"/>
          </w:divBdr>
        </w:div>
        <w:div w:id="548566486">
          <w:marLeft w:val="547"/>
          <w:marRight w:val="0"/>
          <w:marTop w:val="0"/>
          <w:marBottom w:val="0"/>
          <w:divBdr>
            <w:top w:val="none" w:sz="0" w:space="0" w:color="auto"/>
            <w:left w:val="none" w:sz="0" w:space="0" w:color="auto"/>
            <w:bottom w:val="none" w:sz="0" w:space="0" w:color="auto"/>
            <w:right w:val="none" w:sz="0" w:space="0" w:color="auto"/>
          </w:divBdr>
        </w:div>
      </w:divsChild>
    </w:div>
    <w:div w:id="1082023116">
      <w:bodyDiv w:val="1"/>
      <w:marLeft w:val="0"/>
      <w:marRight w:val="0"/>
      <w:marTop w:val="0"/>
      <w:marBottom w:val="0"/>
      <w:divBdr>
        <w:top w:val="none" w:sz="0" w:space="0" w:color="auto"/>
        <w:left w:val="none" w:sz="0" w:space="0" w:color="auto"/>
        <w:bottom w:val="none" w:sz="0" w:space="0" w:color="auto"/>
        <w:right w:val="none" w:sz="0" w:space="0" w:color="auto"/>
      </w:divBdr>
      <w:divsChild>
        <w:div w:id="1498574081">
          <w:marLeft w:val="360"/>
          <w:marRight w:val="0"/>
          <w:marTop w:val="120"/>
          <w:marBottom w:val="120"/>
          <w:divBdr>
            <w:top w:val="none" w:sz="0" w:space="0" w:color="auto"/>
            <w:left w:val="none" w:sz="0" w:space="0" w:color="auto"/>
            <w:bottom w:val="none" w:sz="0" w:space="0" w:color="auto"/>
            <w:right w:val="none" w:sz="0" w:space="0" w:color="auto"/>
          </w:divBdr>
        </w:div>
        <w:div w:id="1350793226">
          <w:marLeft w:val="360"/>
          <w:marRight w:val="0"/>
          <w:marTop w:val="120"/>
          <w:marBottom w:val="120"/>
          <w:divBdr>
            <w:top w:val="none" w:sz="0" w:space="0" w:color="auto"/>
            <w:left w:val="none" w:sz="0" w:space="0" w:color="auto"/>
            <w:bottom w:val="none" w:sz="0" w:space="0" w:color="auto"/>
            <w:right w:val="none" w:sz="0" w:space="0" w:color="auto"/>
          </w:divBdr>
        </w:div>
        <w:div w:id="2060930356">
          <w:marLeft w:val="360"/>
          <w:marRight w:val="0"/>
          <w:marTop w:val="120"/>
          <w:marBottom w:val="120"/>
          <w:divBdr>
            <w:top w:val="none" w:sz="0" w:space="0" w:color="auto"/>
            <w:left w:val="none" w:sz="0" w:space="0" w:color="auto"/>
            <w:bottom w:val="none" w:sz="0" w:space="0" w:color="auto"/>
            <w:right w:val="none" w:sz="0" w:space="0" w:color="auto"/>
          </w:divBdr>
        </w:div>
        <w:div w:id="564294657">
          <w:marLeft w:val="274"/>
          <w:marRight w:val="0"/>
          <w:marTop w:val="0"/>
          <w:marBottom w:val="0"/>
          <w:divBdr>
            <w:top w:val="none" w:sz="0" w:space="0" w:color="auto"/>
            <w:left w:val="none" w:sz="0" w:space="0" w:color="auto"/>
            <w:bottom w:val="none" w:sz="0" w:space="0" w:color="auto"/>
            <w:right w:val="none" w:sz="0" w:space="0" w:color="auto"/>
          </w:divBdr>
        </w:div>
        <w:div w:id="126438745">
          <w:marLeft w:val="274"/>
          <w:marRight w:val="0"/>
          <w:marTop w:val="0"/>
          <w:marBottom w:val="0"/>
          <w:divBdr>
            <w:top w:val="none" w:sz="0" w:space="0" w:color="auto"/>
            <w:left w:val="none" w:sz="0" w:space="0" w:color="auto"/>
            <w:bottom w:val="none" w:sz="0" w:space="0" w:color="auto"/>
            <w:right w:val="none" w:sz="0" w:space="0" w:color="auto"/>
          </w:divBdr>
        </w:div>
        <w:div w:id="1324698823">
          <w:marLeft w:val="274"/>
          <w:marRight w:val="0"/>
          <w:marTop w:val="0"/>
          <w:marBottom w:val="0"/>
          <w:divBdr>
            <w:top w:val="none" w:sz="0" w:space="0" w:color="auto"/>
            <w:left w:val="none" w:sz="0" w:space="0" w:color="auto"/>
            <w:bottom w:val="none" w:sz="0" w:space="0" w:color="auto"/>
            <w:right w:val="none" w:sz="0" w:space="0" w:color="auto"/>
          </w:divBdr>
        </w:div>
        <w:div w:id="1519077106">
          <w:marLeft w:val="274"/>
          <w:marRight w:val="0"/>
          <w:marTop w:val="0"/>
          <w:marBottom w:val="0"/>
          <w:divBdr>
            <w:top w:val="none" w:sz="0" w:space="0" w:color="auto"/>
            <w:left w:val="none" w:sz="0" w:space="0" w:color="auto"/>
            <w:bottom w:val="none" w:sz="0" w:space="0" w:color="auto"/>
            <w:right w:val="none" w:sz="0" w:space="0" w:color="auto"/>
          </w:divBdr>
        </w:div>
        <w:div w:id="1084304953">
          <w:marLeft w:val="547"/>
          <w:marRight w:val="0"/>
          <w:marTop w:val="0"/>
          <w:marBottom w:val="0"/>
          <w:divBdr>
            <w:top w:val="none" w:sz="0" w:space="0" w:color="auto"/>
            <w:left w:val="none" w:sz="0" w:space="0" w:color="auto"/>
            <w:bottom w:val="none" w:sz="0" w:space="0" w:color="auto"/>
            <w:right w:val="none" w:sz="0" w:space="0" w:color="auto"/>
          </w:divBdr>
        </w:div>
        <w:div w:id="568927983">
          <w:marLeft w:val="547"/>
          <w:marRight w:val="0"/>
          <w:marTop w:val="0"/>
          <w:marBottom w:val="120"/>
          <w:divBdr>
            <w:top w:val="none" w:sz="0" w:space="0" w:color="auto"/>
            <w:left w:val="none" w:sz="0" w:space="0" w:color="auto"/>
            <w:bottom w:val="none" w:sz="0" w:space="0" w:color="auto"/>
            <w:right w:val="none" w:sz="0" w:space="0" w:color="auto"/>
          </w:divBdr>
        </w:div>
        <w:div w:id="1732920996">
          <w:marLeft w:val="547"/>
          <w:marRight w:val="0"/>
          <w:marTop w:val="0"/>
          <w:marBottom w:val="120"/>
          <w:divBdr>
            <w:top w:val="none" w:sz="0" w:space="0" w:color="auto"/>
            <w:left w:val="none" w:sz="0" w:space="0" w:color="auto"/>
            <w:bottom w:val="none" w:sz="0" w:space="0" w:color="auto"/>
            <w:right w:val="none" w:sz="0" w:space="0" w:color="auto"/>
          </w:divBdr>
        </w:div>
        <w:div w:id="810638080">
          <w:marLeft w:val="547"/>
          <w:marRight w:val="0"/>
          <w:marTop w:val="0"/>
          <w:marBottom w:val="120"/>
          <w:divBdr>
            <w:top w:val="none" w:sz="0" w:space="0" w:color="auto"/>
            <w:left w:val="none" w:sz="0" w:space="0" w:color="auto"/>
            <w:bottom w:val="none" w:sz="0" w:space="0" w:color="auto"/>
            <w:right w:val="none" w:sz="0" w:space="0" w:color="auto"/>
          </w:divBdr>
        </w:div>
      </w:divsChild>
    </w:div>
    <w:div w:id="1159492584">
      <w:bodyDiv w:val="1"/>
      <w:marLeft w:val="0"/>
      <w:marRight w:val="0"/>
      <w:marTop w:val="0"/>
      <w:marBottom w:val="0"/>
      <w:divBdr>
        <w:top w:val="none" w:sz="0" w:space="0" w:color="auto"/>
        <w:left w:val="none" w:sz="0" w:space="0" w:color="auto"/>
        <w:bottom w:val="none" w:sz="0" w:space="0" w:color="auto"/>
        <w:right w:val="none" w:sz="0" w:space="0" w:color="auto"/>
      </w:divBdr>
    </w:div>
    <w:div w:id="1286499220">
      <w:bodyDiv w:val="1"/>
      <w:marLeft w:val="0"/>
      <w:marRight w:val="0"/>
      <w:marTop w:val="0"/>
      <w:marBottom w:val="0"/>
      <w:divBdr>
        <w:top w:val="none" w:sz="0" w:space="0" w:color="auto"/>
        <w:left w:val="none" w:sz="0" w:space="0" w:color="auto"/>
        <w:bottom w:val="none" w:sz="0" w:space="0" w:color="auto"/>
        <w:right w:val="none" w:sz="0" w:space="0" w:color="auto"/>
      </w:divBdr>
    </w:div>
    <w:div w:id="1322924062">
      <w:bodyDiv w:val="1"/>
      <w:marLeft w:val="0"/>
      <w:marRight w:val="0"/>
      <w:marTop w:val="0"/>
      <w:marBottom w:val="0"/>
      <w:divBdr>
        <w:top w:val="none" w:sz="0" w:space="0" w:color="auto"/>
        <w:left w:val="none" w:sz="0" w:space="0" w:color="auto"/>
        <w:bottom w:val="none" w:sz="0" w:space="0" w:color="auto"/>
        <w:right w:val="none" w:sz="0" w:space="0" w:color="auto"/>
      </w:divBdr>
    </w:div>
    <w:div w:id="1379552485">
      <w:bodyDiv w:val="1"/>
      <w:marLeft w:val="0"/>
      <w:marRight w:val="0"/>
      <w:marTop w:val="0"/>
      <w:marBottom w:val="0"/>
      <w:divBdr>
        <w:top w:val="none" w:sz="0" w:space="0" w:color="auto"/>
        <w:left w:val="none" w:sz="0" w:space="0" w:color="auto"/>
        <w:bottom w:val="none" w:sz="0" w:space="0" w:color="auto"/>
        <w:right w:val="none" w:sz="0" w:space="0" w:color="auto"/>
      </w:divBdr>
    </w:div>
    <w:div w:id="1423645738">
      <w:bodyDiv w:val="1"/>
      <w:marLeft w:val="0"/>
      <w:marRight w:val="0"/>
      <w:marTop w:val="0"/>
      <w:marBottom w:val="0"/>
      <w:divBdr>
        <w:top w:val="none" w:sz="0" w:space="0" w:color="auto"/>
        <w:left w:val="none" w:sz="0" w:space="0" w:color="auto"/>
        <w:bottom w:val="none" w:sz="0" w:space="0" w:color="auto"/>
        <w:right w:val="none" w:sz="0" w:space="0" w:color="auto"/>
      </w:divBdr>
    </w:div>
    <w:div w:id="1559245159">
      <w:bodyDiv w:val="1"/>
      <w:marLeft w:val="0"/>
      <w:marRight w:val="0"/>
      <w:marTop w:val="0"/>
      <w:marBottom w:val="0"/>
      <w:divBdr>
        <w:top w:val="none" w:sz="0" w:space="0" w:color="auto"/>
        <w:left w:val="none" w:sz="0" w:space="0" w:color="auto"/>
        <w:bottom w:val="none" w:sz="0" w:space="0" w:color="auto"/>
        <w:right w:val="none" w:sz="0" w:space="0" w:color="auto"/>
      </w:divBdr>
    </w:div>
    <w:div w:id="1745881927">
      <w:bodyDiv w:val="1"/>
      <w:marLeft w:val="0"/>
      <w:marRight w:val="0"/>
      <w:marTop w:val="0"/>
      <w:marBottom w:val="0"/>
      <w:divBdr>
        <w:top w:val="none" w:sz="0" w:space="0" w:color="auto"/>
        <w:left w:val="none" w:sz="0" w:space="0" w:color="auto"/>
        <w:bottom w:val="none" w:sz="0" w:space="0" w:color="auto"/>
        <w:right w:val="none" w:sz="0" w:space="0" w:color="auto"/>
      </w:divBdr>
    </w:div>
    <w:div w:id="1810512178">
      <w:bodyDiv w:val="1"/>
      <w:marLeft w:val="0"/>
      <w:marRight w:val="0"/>
      <w:marTop w:val="0"/>
      <w:marBottom w:val="0"/>
      <w:divBdr>
        <w:top w:val="none" w:sz="0" w:space="0" w:color="auto"/>
        <w:left w:val="none" w:sz="0" w:space="0" w:color="auto"/>
        <w:bottom w:val="none" w:sz="0" w:space="0" w:color="auto"/>
        <w:right w:val="none" w:sz="0" w:space="0" w:color="auto"/>
      </w:divBdr>
    </w:div>
    <w:div w:id="1876044570">
      <w:bodyDiv w:val="1"/>
      <w:marLeft w:val="0"/>
      <w:marRight w:val="0"/>
      <w:marTop w:val="0"/>
      <w:marBottom w:val="0"/>
      <w:divBdr>
        <w:top w:val="none" w:sz="0" w:space="0" w:color="auto"/>
        <w:left w:val="none" w:sz="0" w:space="0" w:color="auto"/>
        <w:bottom w:val="none" w:sz="0" w:space="0" w:color="auto"/>
        <w:right w:val="none" w:sz="0" w:space="0" w:color="auto"/>
      </w:divBdr>
      <w:divsChild>
        <w:div w:id="1457522416">
          <w:marLeft w:val="547"/>
          <w:marRight w:val="0"/>
          <w:marTop w:val="0"/>
          <w:marBottom w:val="0"/>
          <w:divBdr>
            <w:top w:val="none" w:sz="0" w:space="0" w:color="auto"/>
            <w:left w:val="none" w:sz="0" w:space="0" w:color="auto"/>
            <w:bottom w:val="none" w:sz="0" w:space="0" w:color="auto"/>
            <w:right w:val="none" w:sz="0" w:space="0" w:color="auto"/>
          </w:divBdr>
        </w:div>
        <w:div w:id="1783722816">
          <w:marLeft w:val="547"/>
          <w:marRight w:val="0"/>
          <w:marTop w:val="0"/>
          <w:marBottom w:val="0"/>
          <w:divBdr>
            <w:top w:val="none" w:sz="0" w:space="0" w:color="auto"/>
            <w:left w:val="none" w:sz="0" w:space="0" w:color="auto"/>
            <w:bottom w:val="none" w:sz="0" w:space="0" w:color="auto"/>
            <w:right w:val="none" w:sz="0" w:space="0" w:color="auto"/>
          </w:divBdr>
        </w:div>
        <w:div w:id="385566069">
          <w:marLeft w:val="1166"/>
          <w:marRight w:val="0"/>
          <w:marTop w:val="0"/>
          <w:marBottom w:val="0"/>
          <w:divBdr>
            <w:top w:val="none" w:sz="0" w:space="0" w:color="auto"/>
            <w:left w:val="none" w:sz="0" w:space="0" w:color="auto"/>
            <w:bottom w:val="none" w:sz="0" w:space="0" w:color="auto"/>
            <w:right w:val="none" w:sz="0" w:space="0" w:color="auto"/>
          </w:divBdr>
        </w:div>
        <w:div w:id="776145255">
          <w:marLeft w:val="1800"/>
          <w:marRight w:val="0"/>
          <w:marTop w:val="0"/>
          <w:marBottom w:val="0"/>
          <w:divBdr>
            <w:top w:val="none" w:sz="0" w:space="0" w:color="auto"/>
            <w:left w:val="none" w:sz="0" w:space="0" w:color="auto"/>
            <w:bottom w:val="none" w:sz="0" w:space="0" w:color="auto"/>
            <w:right w:val="none" w:sz="0" w:space="0" w:color="auto"/>
          </w:divBdr>
        </w:div>
        <w:div w:id="1781755494">
          <w:marLeft w:val="1800"/>
          <w:marRight w:val="0"/>
          <w:marTop w:val="0"/>
          <w:marBottom w:val="0"/>
          <w:divBdr>
            <w:top w:val="none" w:sz="0" w:space="0" w:color="auto"/>
            <w:left w:val="none" w:sz="0" w:space="0" w:color="auto"/>
            <w:bottom w:val="none" w:sz="0" w:space="0" w:color="auto"/>
            <w:right w:val="none" w:sz="0" w:space="0" w:color="auto"/>
          </w:divBdr>
        </w:div>
        <w:div w:id="991563851">
          <w:marLeft w:val="1166"/>
          <w:marRight w:val="0"/>
          <w:marTop w:val="0"/>
          <w:marBottom w:val="0"/>
          <w:divBdr>
            <w:top w:val="none" w:sz="0" w:space="0" w:color="auto"/>
            <w:left w:val="none" w:sz="0" w:space="0" w:color="auto"/>
            <w:bottom w:val="none" w:sz="0" w:space="0" w:color="auto"/>
            <w:right w:val="none" w:sz="0" w:space="0" w:color="auto"/>
          </w:divBdr>
        </w:div>
        <w:div w:id="137456898">
          <w:marLeft w:val="1800"/>
          <w:marRight w:val="0"/>
          <w:marTop w:val="0"/>
          <w:marBottom w:val="0"/>
          <w:divBdr>
            <w:top w:val="none" w:sz="0" w:space="0" w:color="auto"/>
            <w:left w:val="none" w:sz="0" w:space="0" w:color="auto"/>
            <w:bottom w:val="none" w:sz="0" w:space="0" w:color="auto"/>
            <w:right w:val="none" w:sz="0" w:space="0" w:color="auto"/>
          </w:divBdr>
        </w:div>
        <w:div w:id="1509834031">
          <w:marLeft w:val="1800"/>
          <w:marRight w:val="0"/>
          <w:marTop w:val="0"/>
          <w:marBottom w:val="0"/>
          <w:divBdr>
            <w:top w:val="none" w:sz="0" w:space="0" w:color="auto"/>
            <w:left w:val="none" w:sz="0" w:space="0" w:color="auto"/>
            <w:bottom w:val="none" w:sz="0" w:space="0" w:color="auto"/>
            <w:right w:val="none" w:sz="0" w:space="0" w:color="auto"/>
          </w:divBdr>
        </w:div>
        <w:div w:id="1483891397">
          <w:marLeft w:val="1166"/>
          <w:marRight w:val="0"/>
          <w:marTop w:val="0"/>
          <w:marBottom w:val="0"/>
          <w:divBdr>
            <w:top w:val="none" w:sz="0" w:space="0" w:color="auto"/>
            <w:left w:val="none" w:sz="0" w:space="0" w:color="auto"/>
            <w:bottom w:val="none" w:sz="0" w:space="0" w:color="auto"/>
            <w:right w:val="none" w:sz="0" w:space="0" w:color="auto"/>
          </w:divBdr>
        </w:div>
        <w:div w:id="1016422821">
          <w:marLeft w:val="1800"/>
          <w:marRight w:val="0"/>
          <w:marTop w:val="0"/>
          <w:marBottom w:val="0"/>
          <w:divBdr>
            <w:top w:val="none" w:sz="0" w:space="0" w:color="auto"/>
            <w:left w:val="none" w:sz="0" w:space="0" w:color="auto"/>
            <w:bottom w:val="none" w:sz="0" w:space="0" w:color="auto"/>
            <w:right w:val="none" w:sz="0" w:space="0" w:color="auto"/>
          </w:divBdr>
        </w:div>
        <w:div w:id="1986424109">
          <w:marLeft w:val="1800"/>
          <w:marRight w:val="0"/>
          <w:marTop w:val="0"/>
          <w:marBottom w:val="0"/>
          <w:divBdr>
            <w:top w:val="none" w:sz="0" w:space="0" w:color="auto"/>
            <w:left w:val="none" w:sz="0" w:space="0" w:color="auto"/>
            <w:bottom w:val="none" w:sz="0" w:space="0" w:color="auto"/>
            <w:right w:val="none" w:sz="0" w:space="0" w:color="auto"/>
          </w:divBdr>
        </w:div>
        <w:div w:id="1090657824">
          <w:marLeft w:val="1800"/>
          <w:marRight w:val="0"/>
          <w:marTop w:val="0"/>
          <w:marBottom w:val="0"/>
          <w:divBdr>
            <w:top w:val="none" w:sz="0" w:space="0" w:color="auto"/>
            <w:left w:val="none" w:sz="0" w:space="0" w:color="auto"/>
            <w:bottom w:val="none" w:sz="0" w:space="0" w:color="auto"/>
            <w:right w:val="none" w:sz="0" w:space="0" w:color="auto"/>
          </w:divBdr>
        </w:div>
        <w:div w:id="547762388">
          <w:marLeft w:val="547"/>
          <w:marRight w:val="0"/>
          <w:marTop w:val="0"/>
          <w:marBottom w:val="0"/>
          <w:divBdr>
            <w:top w:val="none" w:sz="0" w:space="0" w:color="auto"/>
            <w:left w:val="none" w:sz="0" w:space="0" w:color="auto"/>
            <w:bottom w:val="none" w:sz="0" w:space="0" w:color="auto"/>
            <w:right w:val="none" w:sz="0" w:space="0" w:color="auto"/>
          </w:divBdr>
        </w:div>
        <w:div w:id="2092505258">
          <w:marLeft w:val="1800"/>
          <w:marRight w:val="0"/>
          <w:marTop w:val="0"/>
          <w:marBottom w:val="0"/>
          <w:divBdr>
            <w:top w:val="none" w:sz="0" w:space="0" w:color="auto"/>
            <w:left w:val="none" w:sz="0" w:space="0" w:color="auto"/>
            <w:bottom w:val="none" w:sz="0" w:space="0" w:color="auto"/>
            <w:right w:val="none" w:sz="0" w:space="0" w:color="auto"/>
          </w:divBdr>
        </w:div>
        <w:div w:id="1475637808">
          <w:marLeft w:val="1800"/>
          <w:marRight w:val="0"/>
          <w:marTop w:val="0"/>
          <w:marBottom w:val="0"/>
          <w:divBdr>
            <w:top w:val="none" w:sz="0" w:space="0" w:color="auto"/>
            <w:left w:val="none" w:sz="0" w:space="0" w:color="auto"/>
            <w:bottom w:val="none" w:sz="0" w:space="0" w:color="auto"/>
            <w:right w:val="none" w:sz="0" w:space="0" w:color="auto"/>
          </w:divBdr>
        </w:div>
        <w:div w:id="1756710686">
          <w:marLeft w:val="1800"/>
          <w:marRight w:val="0"/>
          <w:marTop w:val="0"/>
          <w:marBottom w:val="0"/>
          <w:divBdr>
            <w:top w:val="none" w:sz="0" w:space="0" w:color="auto"/>
            <w:left w:val="none" w:sz="0" w:space="0" w:color="auto"/>
            <w:bottom w:val="none" w:sz="0" w:space="0" w:color="auto"/>
            <w:right w:val="none" w:sz="0" w:space="0" w:color="auto"/>
          </w:divBdr>
        </w:div>
      </w:divsChild>
    </w:div>
    <w:div w:id="1881820133">
      <w:bodyDiv w:val="1"/>
      <w:marLeft w:val="0"/>
      <w:marRight w:val="0"/>
      <w:marTop w:val="0"/>
      <w:marBottom w:val="0"/>
      <w:divBdr>
        <w:top w:val="none" w:sz="0" w:space="0" w:color="auto"/>
        <w:left w:val="none" w:sz="0" w:space="0" w:color="auto"/>
        <w:bottom w:val="none" w:sz="0" w:space="0" w:color="auto"/>
        <w:right w:val="none" w:sz="0" w:space="0" w:color="auto"/>
      </w:divBdr>
    </w:div>
    <w:div w:id="2006279671">
      <w:bodyDiv w:val="1"/>
      <w:marLeft w:val="0"/>
      <w:marRight w:val="0"/>
      <w:marTop w:val="0"/>
      <w:marBottom w:val="0"/>
      <w:divBdr>
        <w:top w:val="none" w:sz="0" w:space="0" w:color="auto"/>
        <w:left w:val="none" w:sz="0" w:space="0" w:color="auto"/>
        <w:bottom w:val="none" w:sz="0" w:space="0" w:color="auto"/>
        <w:right w:val="none" w:sz="0" w:space="0" w:color="auto"/>
      </w:divBdr>
      <w:divsChild>
        <w:div w:id="1643659578">
          <w:marLeft w:val="274"/>
          <w:marRight w:val="0"/>
          <w:marTop w:val="0"/>
          <w:marBottom w:val="0"/>
          <w:divBdr>
            <w:top w:val="none" w:sz="0" w:space="0" w:color="auto"/>
            <w:left w:val="none" w:sz="0" w:space="0" w:color="auto"/>
            <w:bottom w:val="none" w:sz="0" w:space="0" w:color="auto"/>
            <w:right w:val="none" w:sz="0" w:space="0" w:color="auto"/>
          </w:divBdr>
        </w:div>
        <w:div w:id="451630463">
          <w:marLeft w:val="274"/>
          <w:marRight w:val="0"/>
          <w:marTop w:val="0"/>
          <w:marBottom w:val="0"/>
          <w:divBdr>
            <w:top w:val="none" w:sz="0" w:space="0" w:color="auto"/>
            <w:left w:val="none" w:sz="0" w:space="0" w:color="auto"/>
            <w:bottom w:val="none" w:sz="0" w:space="0" w:color="auto"/>
            <w:right w:val="none" w:sz="0" w:space="0" w:color="auto"/>
          </w:divBdr>
        </w:div>
        <w:div w:id="1932158989">
          <w:marLeft w:val="274"/>
          <w:marRight w:val="0"/>
          <w:marTop w:val="0"/>
          <w:marBottom w:val="0"/>
          <w:divBdr>
            <w:top w:val="none" w:sz="0" w:space="0" w:color="auto"/>
            <w:left w:val="none" w:sz="0" w:space="0" w:color="auto"/>
            <w:bottom w:val="none" w:sz="0" w:space="0" w:color="auto"/>
            <w:right w:val="none" w:sz="0" w:space="0" w:color="auto"/>
          </w:divBdr>
        </w:div>
        <w:div w:id="1123882845">
          <w:marLeft w:val="274"/>
          <w:marRight w:val="0"/>
          <w:marTop w:val="0"/>
          <w:marBottom w:val="0"/>
          <w:divBdr>
            <w:top w:val="none" w:sz="0" w:space="0" w:color="auto"/>
            <w:left w:val="none" w:sz="0" w:space="0" w:color="auto"/>
            <w:bottom w:val="none" w:sz="0" w:space="0" w:color="auto"/>
            <w:right w:val="none" w:sz="0" w:space="0" w:color="auto"/>
          </w:divBdr>
        </w:div>
        <w:div w:id="354039253">
          <w:marLeft w:val="547"/>
          <w:marRight w:val="0"/>
          <w:marTop w:val="0"/>
          <w:marBottom w:val="0"/>
          <w:divBdr>
            <w:top w:val="none" w:sz="0" w:space="0" w:color="auto"/>
            <w:left w:val="none" w:sz="0" w:space="0" w:color="auto"/>
            <w:bottom w:val="none" w:sz="0" w:space="0" w:color="auto"/>
            <w:right w:val="none" w:sz="0" w:space="0" w:color="auto"/>
          </w:divBdr>
        </w:div>
        <w:div w:id="1195926178">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Normal_color.dotm" TargetMode="Externa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2024-06-13T00:00:00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5DEA12-BBF8-4A28-A96A-208B450B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Normal_color.dotm</Template>
  <TotalTime>0</TotalTime>
  <Pages>10</Pages>
  <Words>4896</Words>
  <Characters>28893</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Tripartita</vt:lpstr>
    </vt:vector>
  </TitlesOfParts>
  <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Tripartita</dc:title>
  <dc:subject>Implementace Exportní strategie 2023</dc:subject>
  <dc:creator/>
  <cp:keywords/>
  <dc:description/>
  <cp:lastModifiedBy/>
  <cp:revision>1</cp:revision>
  <dcterms:created xsi:type="dcterms:W3CDTF">2024-07-01T10:33:00Z</dcterms:created>
  <dcterms:modified xsi:type="dcterms:W3CDTF">2024-07-01T10:33:00Z</dcterms:modified>
</cp:coreProperties>
</file>